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104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104890"/>
                    </a:xfrm>
                    <a:prstGeom prst="rect">
                      <a:avLst/>
                    </a:prstGeom>
                    <a:noFill/>
                  </pic:spPr>
                </pic:pic>
              </a:graphicData>
            </a:graphic>
          </wp:anchor>
        </w:drawing>
      </w:r>
    </w:p>
    <w:p>
      <w:pPr>
        <w:sectPr>
          <w:pgSz w:w="11900" w:h="17020" w:orient="portrait"/>
          <w:cols w:equalWidth="0" w:num="1">
            <w:col w:w="10940"/>
          </w:cols>
          <w:pgMar w:left="480" w:top="236"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2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TEISSEYRE THOMAS</w:t>
              </w:r>
            </w:hyperlink>
          </w:p>
        </w:tc>
        <w:tc>
          <w:tcPr>
            <w:tcW w:w="1560" w:type="dxa"/>
            <w:vAlign w:val="bottom"/>
          </w:tcPr>
          <w:p>
            <w:pPr>
              <w:ind w:left="20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20" w:type="dxa"/>
            <w:vAlign w:val="bottom"/>
            <w:gridSpan w:val="2"/>
            <w:vMerge w:val="continue"/>
          </w:tcPr>
          <w:p>
            <w:pPr>
              <w:spacing w:after="0"/>
              <w:rPr>
                <w:sz w:val="13"/>
                <w:szCs w:val="13"/>
                <w:color w:val="auto"/>
              </w:rPr>
            </w:pPr>
          </w:p>
        </w:tc>
        <w:tc>
          <w:tcPr>
            <w:tcW w:w="1560" w:type="dxa"/>
            <w:vAlign w:val="bottom"/>
          </w:tcPr>
          <w:p>
            <w:pPr>
              <w:ind w:left="20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Arial" w:cs="Arial" w:eastAsia="Arial" w:hAnsi="Arial"/>
                <w:sz w:val="20"/>
                <w:szCs w:val="20"/>
                <w:color w:val="0000FF"/>
              </w:rPr>
              <w:t>07/24/2023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Hyperfine,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HYPR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68" w:lineRule="exact"/>
        <w:rPr>
          <w:sz w:val="24"/>
          <w:szCs w:val="24"/>
          <w:color w:val="auto"/>
        </w:rPr>
      </w:pPr>
    </w:p>
    <w:p>
      <w:pPr>
        <w:sectPr>
          <w:pgSz w:w="11900" w:h="17020" w:orient="portrait"/>
          <w:cols w:equalWidth="0" w:num="2">
            <w:col w:w="4720" w:space="280"/>
            <w:col w:w="5940"/>
          </w:cols>
          <w:pgMar w:left="480" w:top="236" w:right="479" w:bottom="0" w:gutter="0" w:footer="0" w:header="0"/>
          <w:type w:val="continuous"/>
        </w:sectPr>
      </w:pPr>
    </w:p>
    <w:p>
      <w:pPr>
        <w:spacing w:after="0" w:line="169"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40" w:type="dxa"/>
            <w:vAlign w:val="bottom"/>
          </w:tcPr>
          <w:p>
            <w:pPr>
              <w:ind w:left="2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4"/>
              </w:rPr>
              <w:t>C/O HYPERFINE, INC.</w:t>
            </w:r>
          </w:p>
        </w:tc>
        <w:tc>
          <w:tcPr>
            <w:tcW w:w="108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351 NEW WHITFIELD STREET</w:t>
            </w:r>
          </w:p>
        </w:tc>
      </w:tr>
      <w:tr>
        <w:trPr>
          <w:trHeight w:val="177"/>
        </w:trPr>
        <w:tc>
          <w:tcPr>
            <w:tcW w:w="7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2020" w:type="dxa"/>
            <w:vAlign w:val="bottom"/>
            <w:gridSpan w:val="2"/>
          </w:tcPr>
          <w:p>
            <w:pPr>
              <w:ind w:left="40"/>
              <w:spacing w:after="0"/>
              <w:rPr>
                <w:sz w:val="20"/>
                <w:szCs w:val="20"/>
                <w:color w:val="auto"/>
              </w:rPr>
            </w:pPr>
            <w:r>
              <w:rPr>
                <w:rFonts w:ascii="Arial" w:cs="Arial" w:eastAsia="Arial" w:hAnsi="Arial"/>
                <w:sz w:val="20"/>
                <w:szCs w:val="20"/>
                <w:color w:val="0000FF"/>
              </w:rPr>
              <w:t>GUILFORD CT</w:t>
            </w:r>
          </w:p>
        </w:tc>
        <w:tc>
          <w:tcPr>
            <w:tcW w:w="1080" w:type="dxa"/>
            <w:vAlign w:val="bottom"/>
          </w:tcPr>
          <w:p>
            <w:pPr>
              <w:ind w:left="80"/>
              <w:spacing w:after="0"/>
              <w:rPr>
                <w:sz w:val="20"/>
                <w:szCs w:val="20"/>
                <w:color w:val="auto"/>
              </w:rPr>
            </w:pPr>
            <w:r>
              <w:rPr>
                <w:rFonts w:ascii="Arial" w:cs="Arial" w:eastAsia="Arial" w:hAnsi="Arial"/>
                <w:sz w:val="20"/>
                <w:szCs w:val="20"/>
                <w:color w:val="0000FF"/>
              </w:rPr>
              <w:t>06437</w:t>
            </w:r>
          </w:p>
        </w:tc>
      </w:tr>
      <w:tr>
        <w:trPr>
          <w:trHeight w:val="177"/>
        </w:trPr>
        <w:tc>
          <w:tcPr>
            <w:tcW w:w="7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40" w:type="dxa"/>
            <w:vAlign w:val="bottom"/>
          </w:tcPr>
          <w:p>
            <w:pPr>
              <w:ind w:left="2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Operating Officer</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07/24/2023</w:t>
      </w:r>
    </w:p>
    <w:p>
      <w:pPr>
        <w:spacing w:after="0" w:line="308" w:lineRule="exact"/>
        <w:rPr>
          <w:sz w:val="24"/>
          <w:szCs w:val="24"/>
          <w:color w:val="auto"/>
        </w:rPr>
      </w:pPr>
    </w:p>
    <w:p>
      <w:pPr>
        <w:ind w:right="480" w:firstLine="9"/>
        <w:spacing w:after="0" w:line="246"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60" w:right="340" w:hanging="304"/>
        <w:spacing w:after="0" w:line="185" w:lineRule="auto"/>
        <w:tabs>
          <w:tab w:leader="none" w:pos="460" w:val="left"/>
        </w:tabs>
        <w:numPr>
          <w:ilvl w:val="0"/>
          <w:numId w:val="4"/>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60"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467" w:lineRule="exact"/>
        <w:rPr>
          <w:sz w:val="24"/>
          <w:szCs w:val="24"/>
          <w:color w:val="auto"/>
        </w:rPr>
      </w:pPr>
    </w:p>
    <w:p>
      <w:pPr>
        <w:sectPr>
          <w:pgSz w:w="11900" w:h="17020" w:orient="portrait"/>
          <w:cols w:equalWidth="0" w:num="3">
            <w:col w:w="4277" w:space="720"/>
            <w:col w:w="3003" w:space="260"/>
            <w:col w:w="2680"/>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ind w:left="580"/>
              <w:spacing w:after="0"/>
              <w:rPr>
                <w:sz w:val="20"/>
                <w:szCs w:val="20"/>
                <w:color w:val="auto"/>
              </w:rPr>
            </w:pPr>
            <w:r>
              <w:rPr>
                <w:rFonts w:ascii="Arial" w:cs="Arial" w:eastAsia="Arial" w:hAnsi="Arial"/>
                <w:sz w:val="20"/>
                <w:szCs w:val="20"/>
                <w:color w:val="0000FF"/>
              </w:rPr>
              <w:t>105,196</w:t>
            </w:r>
            <w:r>
              <w:rPr>
                <w:rFonts w:ascii="Arial" w:cs="Arial" w:eastAsia="Arial" w:hAnsi="Arial"/>
                <w:sz w:val="25"/>
                <w:szCs w:val="25"/>
                <w:color w:val="008000"/>
                <w:vertAlign w:val="superscript"/>
              </w:rPr>
              <w:t>(1)</w:t>
            </w:r>
          </w:p>
        </w:tc>
        <w:tc>
          <w:tcPr>
            <w:tcW w:w="920" w:type="dxa"/>
            <w:vAlign w:val="bottom"/>
            <w:tcBorders>
              <w:bottom w:val="single" w:sz="8" w:color="2C2C2C"/>
            </w:tcBorders>
            <w:gridSpan w:val="2"/>
          </w:tcPr>
          <w:p>
            <w:pPr>
              <w:ind w:left="74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920" w:type="dxa"/>
            <w:vAlign w:val="bottom"/>
            <w:gridSpan w:val="2"/>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vMerge w:val="continue"/>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02/09/2032</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jc w:val="center"/>
              <w:spacing w:after="0"/>
              <w:rPr>
                <w:sz w:val="20"/>
                <w:szCs w:val="20"/>
                <w:color w:val="auto"/>
              </w:rPr>
            </w:pPr>
            <w:r>
              <w:rPr>
                <w:rFonts w:ascii="Arial" w:cs="Arial" w:eastAsia="Arial" w:hAnsi="Arial"/>
                <w:sz w:val="20"/>
                <w:szCs w:val="20"/>
                <w:color w:val="0000FF"/>
                <w:w w:val="85"/>
              </w:rPr>
              <w:t>150,000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0.91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91"/>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02/09/2032</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jc w:val="center"/>
              <w:spacing w:after="0"/>
              <w:rPr>
                <w:sz w:val="20"/>
                <w:szCs w:val="20"/>
                <w:color w:val="auto"/>
              </w:rPr>
            </w:pPr>
            <w:r>
              <w:rPr>
                <w:rFonts w:ascii="Arial" w:cs="Arial" w:eastAsia="Arial" w:hAnsi="Arial"/>
                <w:sz w:val="20"/>
                <w:szCs w:val="20"/>
                <w:color w:val="0000FF"/>
                <w:w w:val="88"/>
              </w:rPr>
              <w:t>62,500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0.91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91"/>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04/28/2032</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jc w:val="center"/>
              <w:spacing w:after="0"/>
              <w:rPr>
                <w:sz w:val="20"/>
                <w:szCs w:val="20"/>
                <w:color w:val="auto"/>
              </w:rPr>
            </w:pPr>
            <w:r>
              <w:rPr>
                <w:rFonts w:ascii="Arial" w:cs="Arial" w:eastAsia="Arial" w:hAnsi="Arial"/>
                <w:sz w:val="20"/>
                <w:szCs w:val="20"/>
                <w:color w:val="0000FF"/>
                <w:w w:val="88"/>
              </w:rPr>
              <w:t>37,500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0.91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91"/>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(5)</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12/20/2032</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jc w:val="center"/>
              <w:spacing w:after="0"/>
              <w:rPr>
                <w:sz w:val="20"/>
                <w:szCs w:val="20"/>
                <w:color w:val="auto"/>
              </w:rPr>
            </w:pPr>
            <w:r>
              <w:rPr>
                <w:rFonts w:ascii="Arial" w:cs="Arial" w:eastAsia="Arial" w:hAnsi="Arial"/>
                <w:sz w:val="20"/>
                <w:szCs w:val="20"/>
                <w:color w:val="0000FF"/>
                <w:w w:val="85"/>
              </w:rPr>
              <w:t>400,000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0.761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91"/>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Represents 33,321 shares of Class A common stock and 71,875 restricted stock units.</w:t>
      </w:r>
    </w:p>
    <w:p>
      <w:pPr>
        <w:spacing w:after="0" w:line="52" w:lineRule="exact"/>
        <w:rPr>
          <w:rFonts w:ascii="Arial" w:cs="Arial" w:eastAsia="Arial" w:hAnsi="Arial"/>
          <w:sz w:val="15"/>
          <w:szCs w:val="15"/>
          <w:color w:val="008000"/>
        </w:rPr>
      </w:pPr>
    </w:p>
    <w:p>
      <w:pPr>
        <w:ind w:left="40" w:right="56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These options were granted on February 9, 2022. 25% of the options vested on January 30, 2023 and the remaining 75% vest in 36 successive equal monthly installments thereafter, in each case, subject to continued service through the applicable vesting date.</w:t>
      </w:r>
    </w:p>
    <w:p>
      <w:pPr>
        <w:spacing w:after="0" w:line="26" w:lineRule="exact"/>
        <w:rPr>
          <w:rFonts w:ascii="Arial" w:cs="Arial" w:eastAsia="Arial" w:hAnsi="Arial"/>
          <w:sz w:val="15"/>
          <w:szCs w:val="15"/>
          <w:color w:val="008000"/>
        </w:rPr>
      </w:pPr>
    </w:p>
    <w:p>
      <w:pPr>
        <w:ind w:left="40" w:right="56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These options were granted on February 9, 2022. 25% of the options vested on February 9, 2023 and the remaining 75% vest in 36 successive equal monthly installments thereafter, in each case, subject to continued service through the applicable vesting date.</w:t>
      </w:r>
    </w:p>
    <w:p>
      <w:pPr>
        <w:spacing w:after="0" w:line="26" w:lineRule="exact"/>
        <w:rPr>
          <w:rFonts w:ascii="Arial" w:cs="Arial" w:eastAsia="Arial" w:hAnsi="Arial"/>
          <w:sz w:val="15"/>
          <w:szCs w:val="15"/>
          <w:color w:val="008000"/>
        </w:rPr>
      </w:pPr>
    </w:p>
    <w:p>
      <w:pPr>
        <w:ind w:left="40" w:right="6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These options were granted on April 28, 2022. 25% of the options vested on April 28, 2023 and the remaining 75% vest in 36 successive equal monthly installments thereafter, in each case, subject to continued service through the applicable vesting date.</w:t>
      </w:r>
    </w:p>
    <w:p>
      <w:pPr>
        <w:spacing w:after="0" w:line="26" w:lineRule="exact"/>
        <w:rPr>
          <w:rFonts w:ascii="Arial" w:cs="Arial" w:eastAsia="Arial" w:hAnsi="Arial"/>
          <w:sz w:val="15"/>
          <w:szCs w:val="15"/>
          <w:color w:val="008000"/>
        </w:rPr>
      </w:pPr>
    </w:p>
    <w:p>
      <w:pPr>
        <w:ind w:left="40" w:right="40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These options were granted on December 20, 2022. 25% of the options vest on December 16, 2023 and the remaining 75% vest in 36 successive equal monthly installments thereafter, in each case, subject to continued service through the applicable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This amended Form 3 is being filed to correct the number of shares in Table I, Column 2.</w:t>
      </w:r>
    </w:p>
    <w:p>
      <w:pPr>
        <w:ind w:left="6580"/>
        <w:spacing w:after="0" w:line="181" w:lineRule="auto"/>
        <w:rPr>
          <w:sz w:val="20"/>
          <w:szCs w:val="20"/>
          <w:color w:val="auto"/>
        </w:rPr>
      </w:pPr>
      <w:r>
        <w:rPr>
          <w:rFonts w:ascii="Arial" w:cs="Arial" w:eastAsia="Arial" w:hAnsi="Arial"/>
          <w:sz w:val="20"/>
          <w:szCs w:val="20"/>
          <w:color w:val="0000FF"/>
        </w:rPr>
        <w:t xml:space="preserve">/s/ Brett Hale, Attorney-in- </w:t>
      </w:r>
      <w:r>
        <w:rPr>
          <w:rFonts w:ascii="Arial" w:cs="Arial" w:eastAsia="Arial" w:hAnsi="Arial"/>
          <w:sz w:val="39"/>
          <w:szCs w:val="39"/>
          <w:color w:val="0000FF"/>
          <w:vertAlign w:val="subscript"/>
        </w:rPr>
        <w:t>11/20/2023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-31115</wp:posOffset>
            </wp:positionV>
            <wp:extent cx="134175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21336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13360"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594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6"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87"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ectPr>
          <w:pgSz w:w="11900" w:h="17020" w:orient="portrait"/>
          <w:cols w:equalWidth="0" w:num="1">
            <w:col w:w="10940"/>
          </w:cols>
          <w:pgMar w:left="480" w:top="236" w:right="479" w:bottom="0" w:gutter="0" w:footer="0" w:header="0"/>
          <w:type w:val="continuous"/>
        </w:sectPr>
      </w:pPr>
    </w:p>
    <w:bookmarkStart w:id="1" w:name="page2"/>
    <w:bookmarkEnd w:id="1"/>
    <w:p>
      <w:pPr>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81"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49" w:lineRule="exact"/>
        <w:rPr>
          <w:sz w:val="20"/>
          <w:szCs w:val="20"/>
          <w:color w:val="auto"/>
        </w:rPr>
      </w:pPr>
    </w:p>
    <w:p>
      <w:pPr>
        <w:ind w:right="739" w:firstLine="1405"/>
        <w:spacing w:after="0" w:line="271"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Maria Sainz and Brett Hale, each of Hyperfine, Inc., and Michael Fantozzi, John Condon,Samantha Silver, Meg Green, and Brenda Meyette, each of Mintz, Levin, Cohn, Ferris, Glovsky and Popeo, P.C., signing singly,</w:t>
      </w:r>
    </w:p>
    <w:p>
      <w:pPr>
        <w:spacing w:after="0" w:line="3" w:lineRule="exact"/>
        <w:rPr>
          <w:sz w:val="20"/>
          <w:szCs w:val="20"/>
          <w:color w:val="auto"/>
        </w:rPr>
      </w:pPr>
    </w:p>
    <w:p>
      <w:pPr>
        <w:ind w:right="2259"/>
        <w:spacing w:after="0" w:line="238" w:lineRule="auto"/>
        <w:rPr>
          <w:sz w:val="20"/>
          <w:szCs w:val="20"/>
          <w:color w:val="auto"/>
        </w:rPr>
      </w:pPr>
      <w:r>
        <w:rPr>
          <w:rFonts w:ascii="Courier New" w:cs="Courier New" w:eastAsia="Courier New" w:hAnsi="Courier New"/>
          <w:sz w:val="20"/>
          <w:szCs w:val="20"/>
          <w:color w:val="auto"/>
        </w:rPr>
        <w:t>with full power of substitution, the undersigned's true and lawful attorney-in-fact to:</w:t>
      </w:r>
    </w:p>
    <w:p>
      <w:pPr>
        <w:spacing w:after="0" w:line="203" w:lineRule="exact"/>
        <w:rPr>
          <w:sz w:val="20"/>
          <w:szCs w:val="20"/>
          <w:color w:val="auto"/>
        </w:rPr>
      </w:pPr>
    </w:p>
    <w:p>
      <w:pPr>
        <w:ind w:left="2100" w:right="1439" w:hanging="695"/>
        <w:spacing w:after="0" w:line="261" w:lineRule="auto"/>
        <w:tabs>
          <w:tab w:leader="none" w:pos="21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and authentication documents for EDGAR Filing Access;</w:t>
      </w:r>
    </w:p>
    <w:p>
      <w:pPr>
        <w:spacing w:after="0" w:line="182" w:lineRule="exact"/>
        <w:rPr>
          <w:rFonts w:ascii="Courier New" w:cs="Courier New" w:eastAsia="Courier New" w:hAnsi="Courier New"/>
          <w:sz w:val="20"/>
          <w:szCs w:val="20"/>
          <w:color w:val="auto"/>
        </w:rPr>
      </w:pPr>
    </w:p>
    <w:p>
      <w:pPr>
        <w:ind w:left="2100" w:right="619" w:hanging="695"/>
        <w:spacing w:after="0" w:line="250" w:lineRule="auto"/>
        <w:tabs>
          <w:tab w:leader="none" w:pos="21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forms and authentication documents;</w:t>
      </w:r>
    </w:p>
    <w:p>
      <w:pPr>
        <w:spacing w:after="0" w:line="192" w:lineRule="exact"/>
        <w:rPr>
          <w:rFonts w:ascii="Courier New" w:cs="Courier New" w:eastAsia="Courier New" w:hAnsi="Courier New"/>
          <w:sz w:val="20"/>
          <w:szCs w:val="20"/>
          <w:color w:val="auto"/>
        </w:rPr>
      </w:pPr>
    </w:p>
    <w:p>
      <w:pPr>
        <w:ind w:left="2100" w:right="619" w:hanging="695"/>
        <w:spacing w:after="0" w:line="244" w:lineRule="auto"/>
        <w:tabs>
          <w:tab w:leader="none" w:pos="21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and/or 10% shareholder of Hyperfine, Inc. (the "Company"), Forms 3, 4 and 5 in accordance with Section 16(a) of the Securities Exchange Act of 1934, as amended, and the rules thereunder;</w:t>
      </w:r>
    </w:p>
    <w:p>
      <w:pPr>
        <w:spacing w:after="0" w:line="198" w:lineRule="exact"/>
        <w:rPr>
          <w:rFonts w:ascii="Courier New" w:cs="Courier New" w:eastAsia="Courier New" w:hAnsi="Courier New"/>
          <w:sz w:val="20"/>
          <w:szCs w:val="20"/>
          <w:color w:val="auto"/>
        </w:rPr>
      </w:pPr>
    </w:p>
    <w:p>
      <w:pPr>
        <w:ind w:left="2100" w:right="739" w:hanging="695"/>
        <w:spacing w:after="0" w:line="244" w:lineRule="auto"/>
        <w:tabs>
          <w:tab w:leader="none" w:pos="21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spacing w:after="0" w:line="198" w:lineRule="exact"/>
        <w:rPr>
          <w:rFonts w:ascii="Courier New" w:cs="Courier New" w:eastAsia="Courier New" w:hAnsi="Courier New"/>
          <w:sz w:val="20"/>
          <w:szCs w:val="20"/>
          <w:color w:val="auto"/>
        </w:rPr>
      </w:pPr>
    </w:p>
    <w:p>
      <w:pPr>
        <w:ind w:left="2100" w:right="619" w:hanging="695"/>
        <w:spacing w:after="0" w:line="241" w:lineRule="auto"/>
        <w:tabs>
          <w:tab w:leader="none" w:pos="21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ind w:right="739" w:firstLine="1405"/>
        <w:spacing w:after="0"/>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206" w:lineRule="exact"/>
        <w:rPr>
          <w:sz w:val="20"/>
          <w:szCs w:val="20"/>
          <w:color w:val="auto"/>
        </w:rPr>
      </w:pPr>
    </w:p>
    <w:p>
      <w:pPr>
        <w:ind w:right="619" w:firstLine="1405"/>
        <w:spacing w:after="0" w:line="244"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9" w:lineRule="exact"/>
        <w:rPr>
          <w:sz w:val="20"/>
          <w:szCs w:val="20"/>
          <w:color w:val="auto"/>
        </w:rPr>
      </w:pPr>
    </w:p>
    <w:p>
      <w:pPr>
        <w:ind w:right="1559" w:firstLine="1405"/>
        <w:spacing w:after="0" w:line="261"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this 10th day of July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00"/>
        <w:spacing w:after="0"/>
        <w:rPr>
          <w:sz w:val="20"/>
          <w:szCs w:val="20"/>
          <w:color w:val="auto"/>
        </w:rPr>
      </w:pPr>
      <w:r>
        <w:rPr>
          <w:rFonts w:ascii="Courier New" w:cs="Courier New" w:eastAsia="Courier New" w:hAnsi="Courier New"/>
          <w:sz w:val="20"/>
          <w:szCs w:val="20"/>
          <w:color w:val="auto"/>
        </w:rPr>
        <w:t>/s/ Thomas Teisseyre</w:t>
      </w:r>
    </w:p>
    <w:p>
      <w:pPr>
        <w:spacing w:after="0" w:line="20" w:lineRule="exact"/>
        <w:rPr>
          <w:sz w:val="20"/>
          <w:szCs w:val="20"/>
          <w:color w:val="auto"/>
        </w:rPr>
      </w:pPr>
    </w:p>
    <w:p>
      <w:pPr>
        <w:ind w:left="4800"/>
        <w:spacing w:after="0"/>
        <w:rPr>
          <w:sz w:val="20"/>
          <w:szCs w:val="20"/>
          <w:color w:val="auto"/>
        </w:rPr>
      </w:pPr>
      <w:r>
        <w:rPr>
          <w:rFonts w:ascii="Courier New" w:cs="Courier New" w:eastAsia="Courier New" w:hAnsi="Courier New"/>
          <w:sz w:val="20"/>
          <w:szCs w:val="20"/>
          <w:color w:val="auto"/>
        </w:rPr>
        <w:t>---------------------------------</w:t>
      </w:r>
    </w:p>
    <w:p>
      <w:pPr>
        <w:ind w:left="4800"/>
        <w:spacing w:after="0" w:line="238" w:lineRule="auto"/>
        <w:rPr>
          <w:sz w:val="20"/>
          <w:szCs w:val="20"/>
          <w:color w:val="auto"/>
        </w:rPr>
      </w:pPr>
      <w:r>
        <w:rPr>
          <w:rFonts w:ascii="Courier New" w:cs="Courier New" w:eastAsia="Courier New" w:hAnsi="Courier New"/>
          <w:sz w:val="20"/>
          <w:szCs w:val="20"/>
          <w:color w:val="auto"/>
        </w:rPr>
        <w:t>Signature</w:t>
      </w:r>
    </w:p>
    <w:p>
      <w:pPr>
        <w:sectPr>
          <w:pgSz w:w="11900" w:h="16838" w:orient="portrait"/>
          <w:cols w:equalWidth="0" w:num="1">
            <w:col w:w="9979"/>
          </w:cols>
          <w:pgMar w:left="480" w:top="114" w:right="1440" w:bottom="0" w:gutter="0" w:footer="0" w:header="0"/>
        </w:sectPr>
      </w:pPr>
    </w:p>
    <w:p>
      <w:pPr>
        <w:spacing w:after="0" w:line="200" w:lineRule="exact"/>
        <w:rPr>
          <w:sz w:val="20"/>
          <w:szCs w:val="20"/>
          <w:color w:val="auto"/>
        </w:rPr>
      </w:pPr>
    </w:p>
    <w:p>
      <w:pPr>
        <w:spacing w:after="0" w:line="227" w:lineRule="exact"/>
        <w:rPr>
          <w:sz w:val="20"/>
          <w:szCs w:val="20"/>
          <w:color w:val="auto"/>
        </w:rPr>
      </w:pPr>
    </w:p>
    <w:p>
      <w:pPr>
        <w:ind w:left="4800"/>
        <w:spacing w:after="0"/>
        <w:rPr>
          <w:sz w:val="20"/>
          <w:szCs w:val="20"/>
          <w:color w:val="auto"/>
        </w:rPr>
      </w:pPr>
      <w:r>
        <w:rPr>
          <w:rFonts w:ascii="Courier New" w:cs="Courier New" w:eastAsia="Courier New" w:hAnsi="Courier New"/>
          <w:sz w:val="18"/>
          <w:szCs w:val="18"/>
          <w:color w:val="auto"/>
        </w:rPr>
        <w:t>Thomas Teisseyre</w:t>
      </w:r>
    </w:p>
    <w:p>
      <w:pPr>
        <w:sectPr>
          <w:pgSz w:w="11900" w:h="16838" w:orient="portrait"/>
          <w:cols w:equalWidth="0" w:num="1">
            <w:col w:w="9979"/>
          </w:cols>
          <w:pgMar w:left="480" w:top="114" w:right="1440" w:bottom="0" w:gutter="0" w:footer="0" w:header="0"/>
          <w:type w:val="continuous"/>
        </w:sectPr>
      </w:pPr>
    </w:p>
    <w:bookmarkStart w:id="3" w:name="page4"/>
    <w:bookmarkEnd w:id="3"/>
    <w:p>
      <w:pPr>
        <w:ind w:left="3840"/>
        <w:spacing w:after="0"/>
        <w:rPr>
          <w:sz w:val="20"/>
          <w:szCs w:val="20"/>
          <w:color w:val="auto"/>
        </w:rPr>
      </w:pPr>
      <w:r>
        <w:rPr>
          <w:rFonts w:ascii="Courier New" w:cs="Courier New" w:eastAsia="Courier New" w:hAnsi="Courier New"/>
          <w:sz w:val="18"/>
          <w:szCs w:val="18"/>
          <w:color w:val="auto"/>
        </w:rPr>
        <w:t>---------------------------------</w:t>
      </w:r>
    </w:p>
    <w:p>
      <w:pPr>
        <w:spacing w:after="0" w:line="4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019"/>
      </w:cols>
      <w:pgMar w:left="144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6"/>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85264" TargetMode="External"/><Relationship Id="rId11" Type="http://schemas.openxmlformats.org/officeDocument/2006/relationships/hyperlink" Target="http://www.sec.gov/cgi-bin/browse-edgar?action=getcompany&amp;CIK=0001833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2023-11-20T17:23:12Z</dcterms:created>
  <dcterms:modified xsi:type="dcterms:W3CDTF">2023-11-20T17:23:12Z</dcterms:modified>
</cp:coreProperties>
</file>