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Hyperfine,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001-39949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98-1569027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351 New Whitfield Street</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Guilford, Connecticut</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06437</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95"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796-6767</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HYPR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On February 11, 2025, Hyperfine, Inc. (the “Company”) entered into a securities purchase agreement (the “Securities Purchase Agreement”) with certain institutional investors (each an “Investor” and collectively, the “Investors”), pursuant to which the Company agreed to issue and sell, in a registered direct offering by the Company directly to the Investors (the “Offering”): (i) 4,511,278 shares (the “Shares”) of the Company’s Class A common stock, par value $0.0001 per share (the “Common Stock”), and (ii) warrants to purchase up to 4,511,278 shares of Common Stock (the “Warrants”). Each share of Common Stock and accompanying Warrant were sold together at a combined offering price of $1.33. The aggregate gross proceeds to the Company from the Offering are expected to be approximately $6.0 million before deducting the placement agent’s fees and estimated offering expenses.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Each Investor (together with its affiliates) may not exercise any portion of the Warrants to the extent that such Investor would own more than 4.99% (or, at the Investor’s option upon issuance, 9.99%) of the Company’s outstanding Common Stock immediately after exercise. However, upon at least 61 days’ prior notice from such Investor to the Company, such Investor may increase the amount of ownership of outstanding Common Stock after exercising the Investor’s Warrants up to 9.99% of the number of Common Stock outstanding immediately after giving effect to the exercise, as such percentage ownership is determined in accordance with the terms of the Warrant. The Warrants have an exercise price of $1.33 per share, are immediately exercisable and will expire five years from the initial exercise date.</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Offering is being made pursuant to the Company’s shelf registration statement on Form S-3 (File No. 333-275449) filed with the Securities and Exchange Commission (the “Commission”) on November 9, 2023 and declared effective by the Commission on November 22, 2023, and a prospectus supplement thereunder.</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Securities Purchase Agreement contains customary representations, warranties and agreements by the Company and the Investors and customary indemnification rights of the parties. The representations, warranties and covenants contained in the Securities Purchase Agreement were made only for the purposes of such agreement and as of specific dates, were solely for the benefit of the parties to such agreement, and may be subject to limitations agreed upon by the contracting parties. Additionally, the Company has granted the Investors a right for one year to participate in certain Subsequent Financings (as defined in the Securities Purchase Agreement) up to an amount equal to 25% of a Subsequent Financing.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11, 2025, the Company entered into a placement agency agreement (the “Placement Agent Agreement”) with Lake Street Capital Markets,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(“Lake Street”) pursuant to which the Company engaged Lake Street as the exclusive placement agent in connection with the Offering.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agreed to pay Lake Street a fee in cash up to 7.0% of the gross proceeds from the sale of the Shares and Warrants to the Investors.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also agreed to reimburse the Placement Agents for out-of-pocket expenses, including the reasonable fees of legal counsel not to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$160,000. The Placement Agent Agreement also contains representations, warranties, indemnification and other provisions customary for transactions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nature. Pursuant to the Securities Purchase Agreement and Placement Agent Agreement, the Company has agreed not to (i) issue, enter into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to issue or announce the issuance or proposed issuance of any shares of Class A common stock or common stock equivalents or (ii) file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or amendment or supplement with respect thereto, subject to certain exceptions, during the 90-day period following the closing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Additionally, each of the directors and officers of the Company, pursuant to lock-up agreements, agreed not to sell or transfer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securities which they hold, subject to certain exceptions, during the 60-day period following the closing of the Offering.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is expected to close on February 12, 2025, subject to satisfaction of customary closing conditions.</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Placement Agent Agreement, Securities Purchase Agreement and Warrants are qualified in their entirety by reference to such documents attached as Exhibits 1.1, 10.1 and 4.1, respectively, to this Current Report on Form 8-K, which are incorporated by reference herein.</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any securities or a solicitation of an offer to buy any securities in this Offering, nor shall there be any sale of any securities in any state or jurisdiction in which such an offer, solicitation or sale would be unlawful prior to registration or qualification under the securities laws of any such state or jurisdiction.</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copy of the legal opinion of Mintz, Levin, Cohn, Ferris, Glovsky and Popeo, P.C. relating to the validity of the issuance and sale of the securities in the Offering is attached as Exhibit 5.1 hereto.</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February 11, 2025, the Company issued a press release announcing the pricing of the Offering, a copy of which is attached hereto as Exhibit 99.1 and incorporated herein by reference.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Including the anticipated net proceeds from the Offering, the Company expects its existing cash and cash equivalents, together with proceeds from the sales of its products and services, will enable it to conduct its planned operations until the end of 2026.</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0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80" w:type="dxa"/>
            <w:vAlign w:val="bottom"/>
            <w:gridSpan w:val="4"/>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Placement Agent Agreement, by and between the Company and Lake Street Capital Markets, LLC, dated as of February 11, 2025.</w:t>
            </w: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3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Form of Warrant.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Opinion of Mintz, Levin, Cohn, Ferris, Glovsky and Popeo, P.C.</w:t>
            </w:r>
          </w:p>
        </w:tc>
        <w:tc>
          <w:tcPr>
            <w:tcW w:w="50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Form of Securities Purchase Agreement, dated as of February 11, 2025, by and among Hyperfine, Inc. and the purchasers party thereto</w:t>
            </w: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Mintz, Levin, Cohn, Ferris, Glovsky and Popeo, P.C. (included in Exhibit 5.1).</w:t>
            </w:r>
          </w:p>
        </w:tc>
        <w:tc>
          <w:tcPr>
            <w:tcW w:w="3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Press Release dated February 11, 2025.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68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40"/>
          </w:cols>
          <w:pgMar w:left="440" w:top="293" w:right="7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HYPERFINE, INC.</w:t>
      </w:r>
    </w:p>
    <w:p>
      <w:pPr>
        <w:spacing w:after="0" w:line="22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February 11, 2025</w:t>
      </w:r>
      <w:r>
        <w:rPr>
          <w:sz w:val="20"/>
          <w:szCs w:val="20"/>
          <w:color w:val="auto"/>
        </w:rPr>
        <w:tab/>
      </w:r>
      <w:r>
        <w:rPr>
          <w:rFonts w:ascii="Times New Roman" w:cs="Times New Roman" w:eastAsia="Times New Roman" w:hAnsi="Times New Roman"/>
          <w:sz w:val="17"/>
          <w:szCs w:val="17"/>
          <w:color w:val="auto"/>
        </w:rPr>
        <w:t>/s/ Brett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Brett Hale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Administrative Officer, Chief Financial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Officer, Treasurer and Corporate Secretary</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AGENCY AGREEMENT</w:t>
      </w:r>
    </w:p>
    <w:p>
      <w:pPr>
        <w:spacing w:after="0" w:line="229"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7"/>
          <w:szCs w:val="17"/>
          <w:color w:val="auto"/>
        </w:rPr>
        <w:t>February 11,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Hale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Administration Officer, Chief Financial Officer, Treasurer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Hyperfine,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351A New Whitfield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Guilford, CT 06437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Hale: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constitutes the agreement between Lake Street Capital Markets, LLC (“</w:t>
      </w:r>
      <w:r>
        <w:rPr>
          <w:rFonts w:ascii="Times New Roman" w:cs="Times New Roman" w:eastAsia="Times New Roman" w:hAnsi="Times New Roman"/>
          <w:sz w:val="18"/>
          <w:szCs w:val="18"/>
          <w:b w:val="1"/>
          <w:bCs w:val="1"/>
          <w:color w:val="auto"/>
        </w:rPr>
        <w:t>Lake Street</w:t>
      </w:r>
      <w:r>
        <w:rPr>
          <w:rFonts w:ascii="Times New Roman" w:cs="Times New Roman" w:eastAsia="Times New Roman" w:hAnsi="Times New Roman"/>
          <w:sz w:val="18"/>
          <w:szCs w:val="18"/>
          <w:color w:val="auto"/>
        </w:rPr>
        <w:t>”), as placement agent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and Hyperfine, Inc., a company incorporated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Agent shall serve as the exclusive placement agent for the Company, on a “reasonable best efforts” basis, in connection with the proposed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of shares of Class A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 par value $0.0001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warrants to purchase shares of Common 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warrants to purchase shares of Common Stock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Warrants</w:t>
      </w:r>
      <w:r>
        <w:rPr>
          <w:rFonts w:ascii="Times New Roman" w:cs="Times New Roman" w:eastAsia="Times New Roman" w:hAnsi="Times New Roman"/>
          <w:sz w:val="18"/>
          <w:szCs w:val="18"/>
          <w:color w:val="auto"/>
        </w:rPr>
        <w:t>”, together with the Pre-Funded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collectively with the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and the Securities shall be mutually agreed upon by the Company and the purchasers (each,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and nothing herein constitutes that the Placement Agent would have the power or authority to bind the Company or any Purchaser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for the Company to issue any Securities or complete the Placement. This Agreement and the documents executed and delivered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Purchasers in connection with the Placement, which may include a securities purchase agreement between the Company and 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of such Purchasers in a form mutually agreed upon by the Company and the Placement Agent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shall be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herein as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The date of the closing of the Placement shall be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expressly acknowledges and agrees that the Placement Agent’s obligations hereunder are on a reasonable best efforts basis only and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this Agreement does not constitute a commitment by the Placement Agent to purchase the Securities and does not ensure the successful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of the Securities or any portion thereof or the success of the Placement Agent with respect to securing any other financing on behalf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With the prior written consent of the Company, the Placement Agent may retain other brokers or dealers to act as sub-agents or selected-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dealers on its behalf in connection with the Placement. Capitalized terms that are not otherwise defined herein have the meanings given to such terms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Agreement. Prior to the signing of any Purchase Agreement, executive officers of the Company will be available upon reasonable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during normal business hours to answer inquiries from prospective Purchasers.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 REPRESENTATIONS AND WARRANTIES OF THE COMPANY; COVENANTS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Each of the representations and warranties (together with any related disclosure schedules thereto) and covenants made by the Company to the Purchasers in the Purchase Agreement in connection with the Placement is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w:t>
      </w:r>
    </w:p>
    <w:p>
      <w:pPr>
        <w:spacing w:after="0" w:line="72" w:lineRule="exact"/>
        <w:rPr>
          <w:sz w:val="20"/>
          <w:szCs w:val="20"/>
          <w:color w:val="auto"/>
        </w:rPr>
      </w:pPr>
    </w:p>
    <w:p>
      <w:pPr>
        <w:ind w:left="440" w:right="20" w:hanging="4"/>
        <w:spacing w:after="0" w:line="256"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prepared and filed with the Commission a registration statement on Form S-3 (Registration No. 333-275449), and amendments thereto, and related preliminary prospectuses, for the registration under the Securities Act of 1933, as amended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of up to $150,000,000 of the securities of the Company identified therein, which registration statement, as so amended (including post-effective amendments, if any) became effective on November 22, 2023. At the time of such filing, the Company met the requirements of Form S-3 under the Securities Act or received any necessary waivers from the Commission with respect to its eligibility thereof. Such registration statement meets the requirements set forth in Rule 415(a)(1)(x) under the Securities Act and complies with said Rule. The Company will file with</w:t>
      </w:r>
    </w:p>
    <w:p>
      <w:pPr>
        <w:sectPr>
          <w:pgSz w:w="11900" w:h="16838" w:orient="portrait"/>
          <w:cols w:equalWidth="0" w:num="1">
            <w:col w:w="11020"/>
          </w:cols>
          <w:pgMar w:left="440" w:top="117" w:right="439" w:bottom="1440" w:gutter="0" w:footer="0" w:header="0"/>
        </w:sectPr>
      </w:pPr>
    </w:p>
    <w:bookmarkStart w:id="5" w:name="page6"/>
    <w:bookmarkEnd w:id="5"/>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Commission pursuant to Rule 424(b) under the Securities Act, and the rules and regulations (the “</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of the Commission promulgated thereunder, a supplement to the form of prospectus included in such registration statement relating to the placement of the Securities and the plan of distribution thereof and has advised the Placement Agent of all further information (financial and other) with respect to the Company required to be set forth therein. Such registration statement, including the exhibits thereto, as amended at the date of this Agreement (including any Rule 462(b) registration statement), is hereinafter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such prospectus in the form in which it appears in the Registration Statement is hereinafter called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the supplemented form of prospectus, in the form in which it will be filed with the Commission pursuant to Rule 424(b) (including the Base Prospectus as so supplemented) is hereinafter called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Any reference in this Agreement to the Registration Statement, the Base Prospectus or the Prospectus Supplement shall be deemed to refer to and include the documents incorporated by reference therein (the “</w:t>
      </w:r>
      <w:r>
        <w:rPr>
          <w:rFonts w:ascii="Times New Roman" w:cs="Times New Roman" w:eastAsia="Times New Roman" w:hAnsi="Times New Roman"/>
          <w:sz w:val="18"/>
          <w:szCs w:val="18"/>
          <w:b w:val="1"/>
          <w:bCs w:val="1"/>
          <w:color w:val="auto"/>
        </w:rPr>
        <w:t>Incorporated Documents</w:t>
      </w:r>
      <w:r>
        <w:rPr>
          <w:rFonts w:ascii="Times New Roman" w:cs="Times New Roman" w:eastAsia="Times New Roman" w:hAnsi="Times New Roman"/>
          <w:sz w:val="18"/>
          <w:szCs w:val="18"/>
          <w:color w:val="auto"/>
        </w:rPr>
        <w:t>”) pursuant to Item 12 of Form S-3 which were filed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on or before the date of this Agreement, or the issue date of the Base Prospectus or the Prospectus Supplement, as the case may be; and any reference in this Agreement to the terms “amend,” “amendment” or “supplement” with respect to the Registration Statement, the Base Prospectus or the Prospectus Supplement shall be deemed to refer to and include the filing of any document under the Exchange Act after the date of this Agreement, or the issue date of the Base Prospectus or the Prospectus Supplement, as the case may be, deemed to be incorporated therein by reference. All references in this Agreement to financial statements and schedules and other information which is “contained,” “included,” “described,” “referenced,” “set forth” or “stated” in the Registration Statement, the Base Prospectus or the Prospectus Supplement (and all other references of like import) shall be deemed to mean and include all such financial statements and schedules and other information which is or is deemed to be incorporated by reference in the Registration Statement, the Base Prospectus or the Prospectus Supplement, as the case may be. The Company has not received any notice that the Commission has issued or intends to issue a stop order suspending the effectiveness of the Registration Statement or the use of the Base Prospectus or the Prospectus Supplement, or intends to commence a proceeding for any such purpose.</w:t>
      </w:r>
    </w:p>
    <w:p>
      <w:pPr>
        <w:spacing w:after="0" w:line="85" w:lineRule="exact"/>
        <w:rPr>
          <w:sz w:val="20"/>
          <w:szCs w:val="20"/>
          <w:color w:val="auto"/>
        </w:rPr>
      </w:pPr>
    </w:p>
    <w:p>
      <w:pPr>
        <w:ind w:left="4" w:right="40" w:hanging="4"/>
        <w:spacing w:after="0" w:line="251" w:lineRule="auto"/>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any further documents to be filed with the Commission) contains all exhibits and schedules as required by the Securities Act. Each of the Registration Statement and any post-effective amendment thereto, at the time it became effective, complied in all material respects with the Securities Act and the Exchange Act and the applicable Rules and Regulations and did not and, as amended or supplemented, if applicable, will not, contain any untrue statement of a material fact or omit to state a material fact required to be stated therein or necessary to make the statements therein not misleading. The Base Prospectus, and the Prospectus Supplement, each as of its respective date, comply in all material respects with the Securities Act and the Exchange Act and the applicable Rules and Regulations. Each of the Base Prospectus, and the Prospectus Supplement, as amended or supplemented, did not and will not contain as of the date thereof any untrue statement of a material fact or omit to state a material fact necessary in order to make the statements therein, in the light of the circumstances under which they were made, not misleading. The Incorporated Documents, when they were filed with the Commission, conformed in all material respects to the requirements of the Exchange Act and the applicable Rules and Regulations, and none of such documents, when they were filed with the Commission, contained any untrue statement of a material fact or omitted to state a material fact necessary to make the statements therein (with respect to Incorporated Documents incorporated by reference in the Base Prospectus or Prospectus Supplement), in the light of the circumstances under which they were made not misleading; and any further documents so filed and incorporated by reference in the Base Prospectus or Prospectus Supplement, when such documents are filed with the Commission, will conform in all material respects to the requirements of the Exchange Act and the applicable Rules and Regulations, as applicable, and will not contain any untrue statement of a material fact or omit to state a material fact necessary to make the statements therein, in the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Base Prospectus, or Prospectus Supplement, or to be filed as exhibits or schedules to the Registration Statement, which (x) have not been described or filed as required or (y) will not be filed within the requisite time period.</w:t>
      </w:r>
    </w:p>
    <w:p>
      <w:pPr>
        <w:sectPr>
          <w:pgSz w:w="11900" w:h="16838" w:orient="portrait"/>
          <w:cols w:equalWidth="0" w:num="1">
            <w:col w:w="10564"/>
          </w:cols>
          <w:pgMar w:left="876" w:top="266" w:right="459" w:bottom="1440" w:gutter="0" w:footer="0" w:header="0"/>
        </w:sectPr>
      </w:pPr>
    </w:p>
    <w:bookmarkStart w:id="6" w:name="page7"/>
    <w:bookmarkEnd w:id="6"/>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has delivered or made available, or will as promptly as practicable deliver or make available, to the Placement Agent complete conformed copies of the Registration Statement and of each consent and certificate of experts, as applicable, filed as a part thereof, and conformed copies of the Registration Statement (without exhibits), the Base Prospectus, and the Prospectus Supplement, as amended or supplemented, in such quantities and at such places as the Placement Agent reasonably requests. Neither the Company nor any of its directors and officers has distributed and none of them will distribute, prior to the Closing Date, any offering material in connection with the offering and sale of the Securities pursuant to the Placement other than the Base Prospectus, the Prospectus Supplement, the Registration Statement, copies of the documents incorporated by reference therein and any other materials permitted by the Securities Act. In addition, the Company agrees that:</w:t>
      </w:r>
    </w:p>
    <w:p>
      <w:pPr>
        <w:spacing w:after="0" w:line="81" w:lineRule="exact"/>
        <w:rPr>
          <w:sz w:val="20"/>
          <w:szCs w:val="20"/>
          <w:color w:val="auto"/>
        </w:rPr>
      </w:pPr>
    </w:p>
    <w:p>
      <w:pPr>
        <w:ind w:left="440" w:hanging="4"/>
        <w:spacing w:after="0" w:line="261"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ninety (90) days after the Closing Date, unless otherwise waived by the Placement Agent, neither the Company nor any Subsidiary shall (1) issue, enter into any agreement to issue or announce the issuance or proposed issuance of any Common Stock or Common Stock Equivalents or (2) file any registration statement or amendment or supplement with respect thereto other than a registration statement on Form S-8 in connection with the Company’s existing equity incentive plans.</w:t>
      </w:r>
    </w:p>
    <w:p>
      <w:pPr>
        <w:spacing w:after="0" w:line="71" w:lineRule="exact"/>
        <w:rPr>
          <w:rFonts w:ascii="Times New Roman" w:cs="Times New Roman" w:eastAsia="Times New Roman" w:hAnsi="Times New Roman"/>
          <w:sz w:val="18"/>
          <w:szCs w:val="18"/>
          <w:color w:val="auto"/>
        </w:rPr>
      </w:pPr>
    </w:p>
    <w:p>
      <w:pPr>
        <w:ind w:left="440" w:right="20" w:hanging="4"/>
        <w:spacing w:after="0" w:line="253"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one hundred and eighty (180) days after the Closing Date, unless otherwise waived by the Placement Agent, the Company shall be prohibited from effecting or entering into an agreement to effect any issuance by the Company or any of its Subsidiaries of any Common Stock or Common Stock Equivalents (or a combination of units thereof) involving a Variable Rate Transaction. “</w:t>
      </w:r>
      <w:r>
        <w:rPr>
          <w:rFonts w:ascii="Times New Roman" w:cs="Times New Roman" w:eastAsia="Times New Roman" w:hAnsi="Times New Roman"/>
          <w:sz w:val="18"/>
          <w:szCs w:val="18"/>
          <w:b w:val="1"/>
          <w:bCs w:val="1"/>
          <w:color w:val="auto"/>
        </w:rPr>
        <w:t>Variable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for, or include the right to receive additional Common Stock either (A) at a conversion price, exercise price or exchange rate or other price that is based upon and/or varies with the trading prices of or quotations for the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whereby the Company may issue securities at a future determined price regardless of whether Common Stock pursuant to such agreement have actually been issued and regardless of whether such agreement is subsequently canceled. Notwithstanding the foregoing, this Section 1(B)(2) shall not apply in respect of any offering, sale or issuance in connection with any “at the market offering” that is or may be established by the Company.</w:t>
      </w:r>
    </w:p>
    <w:p>
      <w:pPr>
        <w:spacing w:after="0" w:line="79" w:lineRule="exact"/>
        <w:rPr>
          <w:rFonts w:ascii="Times New Roman" w:cs="Times New Roman" w:eastAsia="Times New Roman" w:hAnsi="Times New Roman"/>
          <w:sz w:val="18"/>
          <w:szCs w:val="18"/>
          <w:color w:val="auto"/>
        </w:rPr>
      </w:pPr>
    </w:p>
    <w:p>
      <w:pPr>
        <w:ind w:left="440" w:hanging="4"/>
        <w:spacing w:after="0" w:line="252"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Sections 1(B)(1) and 1(B)(2) shall not apply in respect to an Exempt Issuance. As used herein, “Exempt Issuance” means the issuance of (a) Common Stock, restricted share units or options to employees, consultants, officers, or directors of the Company pursuant to any equity plan in existence duly adopted for such purpose by, or shares of Common Stock or options to employees, officers or consultants pursuant to an inducement grant approved by, a majority of the non-employee members of the board of directors of the Company or a majority of the members of a committee of non-employee directors established for such purpose, in each case for services rendered to the Company, (b) Common Stock upon the exercise or exchange of or conversion of securities exercisable or exchangeable for or convertible into Common Stock pursuant to terms of existing agreements or instruments that are outstanding as of the date of this Agreement and the filing of any registration statement and amendments thereto that are required in connection an issuance pursuant to this clause (b), provided that such securities have not been amended since the date of this Agreement to increase the number of such securities or to decrease the exercise price, exchange price or conversion price of such securities or to extend the term of such securities (excluding, for the avoidance of doubt, any anti-dilution adjustments expressly provided for in the terms of such securities as of the date of this Agreement), (c) securities issued pursuant to acquisitions or strategic investments approved by a majority of the disinterested directors of the Company, provided that, in any case, such securities are issued as “restricted securities” (as defined in Rule 144) and carry no registration rights that require or permit the filing of any registration statement in connection therewith during the prohibition period in Section 1(B)(1) herein, and (d) the issuance of Common Stock or Common Stock Equivalents in</w:t>
      </w:r>
    </w:p>
    <w:p>
      <w:pPr>
        <w:sectPr>
          <w:pgSz w:w="11900" w:h="16838" w:orient="portrait"/>
          <w:cols w:equalWidth="0" w:num="1">
            <w:col w:w="11000"/>
          </w:cols>
          <w:pgMar w:left="440" w:top="270" w:right="459" w:bottom="1440" w:gutter="0" w:footer="0" w:header="0"/>
        </w:sectPr>
      </w:pPr>
    </w:p>
    <w:bookmarkStart w:id="7" w:name="page8"/>
    <w:bookmarkEnd w:id="7"/>
    <w:p>
      <w:pPr>
        <w:ind w:left="440"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the issuance of debt or the incurrence of indebtedness by the Company, provided that such issuance is to the holders or lenders of such debt and that the aggregate number of shares of Common Stock or any securities convertible into or exercisable or exchangeable for Common Stock that the Company may issue or agree to issue pursuant to this clause (d) shall not exceed 5% of the total outstanding shares of Common Stock immediately prior to the issuance of the Common Stock or Common Stock Equivalents pursuant 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OF THE PLACEMENT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Placement Agent represents and warrants that it (i) is a member in good standing of FINRA, (ii) is registered as a broker/dealer under the Exchange Act, (iii) is licensed as a broker/dealer under the laws of the States applicable to the offers and sales of the Securities by the Placement Agent, (iv) is and will be a corporate entity validly existing under the laws of its place of incorporation, and (v) has full power and authority to enter into and perform its obligations under this Agreement. The Placement Agent will immediately notify the Company in writing of any change in its status as such. The Placement Agent covenants that it will use its reasonable best efforts to conduct the Placement hereunder in compliance with the provisions of this Agreement and the requirements of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 In consideration of the services to be provided for hereunder, the Company shall pay to the Placement Agent or its respective designees, the following compensation with respect to the placement of the Securities:</w:t>
      </w:r>
    </w:p>
    <w:p>
      <w:pPr>
        <w:spacing w:after="0" w:line="50" w:lineRule="exact"/>
        <w:rPr>
          <w:sz w:val="20"/>
          <w:szCs w:val="20"/>
          <w:color w:val="auto"/>
        </w:rPr>
      </w:pPr>
    </w:p>
    <w:p>
      <w:pPr>
        <w:ind w:left="440" w:hanging="4"/>
        <w:spacing w:after="0" w:line="268"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fee (the “</w:t>
      </w:r>
      <w:r>
        <w:rPr>
          <w:rFonts w:ascii="Times New Roman" w:cs="Times New Roman" w:eastAsia="Times New Roman" w:hAnsi="Times New Roman"/>
          <w:sz w:val="18"/>
          <w:szCs w:val="18"/>
          <w:b w:val="1"/>
          <w:bCs w:val="1"/>
          <w:color w:val="auto"/>
        </w:rPr>
        <w:t>Cash Fee</w:t>
      </w:r>
      <w:r>
        <w:rPr>
          <w:rFonts w:ascii="Times New Roman" w:cs="Times New Roman" w:eastAsia="Times New Roman" w:hAnsi="Times New Roman"/>
          <w:sz w:val="18"/>
          <w:szCs w:val="18"/>
          <w:color w:val="auto"/>
        </w:rPr>
        <w:t>”) equal to (i) an aggregate of seven percent (7.0%) of up to the first $10,000,000 of gross proceeds from the sale of Securities in the Placement to the Purchasers, and (ii) an aggregate of six percent (6.0%) of any gross proceeds above $10,000,000 from the sale of Securities in the Placement to the Purchasers. The Cash Fee shall be paid to the Placement Agent at the Closing of the Placement.</w:t>
      </w:r>
    </w:p>
    <w:p>
      <w:pPr>
        <w:spacing w:after="0" w:line="66" w:lineRule="exact"/>
        <w:rPr>
          <w:rFonts w:ascii="Times New Roman" w:cs="Times New Roman" w:eastAsia="Times New Roman" w:hAnsi="Times New Roman"/>
          <w:sz w:val="18"/>
          <w:szCs w:val="18"/>
          <w:color w:val="auto"/>
        </w:rPr>
      </w:pPr>
    </w:p>
    <w:p>
      <w:pPr>
        <w:ind w:left="440" w:right="160" w:hanging="4"/>
        <w:spacing w:after="0" w:line="261"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FINRA Rule 5110(g)(5), the Company also agrees to reimburse the Placement Agent for all reasonable and documented out-of-pocket expenses incurred by the Placement Agent in connection with the Placement, including the fees and disbursements of legal counsel, in an aggregate amount not to exceed $160,000. The Company will reimburse the Placement Agent directly out of the Closing of the Placement.</w:t>
      </w:r>
    </w:p>
    <w:p>
      <w:pPr>
        <w:spacing w:after="0" w:line="71" w:lineRule="exact"/>
        <w:rPr>
          <w:rFonts w:ascii="Times New Roman" w:cs="Times New Roman" w:eastAsia="Times New Roman" w:hAnsi="Times New Roman"/>
          <w:sz w:val="18"/>
          <w:szCs w:val="18"/>
          <w:color w:val="auto"/>
        </w:rPr>
      </w:pPr>
    </w:p>
    <w:p>
      <w:pPr>
        <w:ind w:left="440" w:right="60" w:hanging="4"/>
        <w:spacing w:after="0" w:line="266"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reserves the right to reduce any item of its compensation or adjust the terms thereof as specified herein in the event that a determination shall be made by FINRA to the effect that the Placement Agent’s aggregate compensation is in excess of FINRA Rules or that the terms thereof require adjustment.</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to the indemnification and other agreements set forth in the Indemnification Provisions (the “</w:t>
      </w:r>
      <w:r>
        <w:rPr>
          <w:rFonts w:ascii="Times New Roman" w:cs="Times New Roman" w:eastAsia="Times New Roman" w:hAnsi="Times New Roman"/>
          <w:sz w:val="18"/>
          <w:szCs w:val="18"/>
          <w:b w:val="1"/>
          <w:bCs w:val="1"/>
          <w:color w:val="auto"/>
        </w:rPr>
        <w:t>Indemnification Provisions</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Addendum A</w:t>
      </w:r>
      <w:r>
        <w:rPr>
          <w:rFonts w:ascii="Times New Roman" w:cs="Times New Roman" w:eastAsia="Times New Roman" w:hAnsi="Times New Roman"/>
          <w:sz w:val="18"/>
          <w:szCs w:val="18"/>
          <w:color w:val="auto"/>
        </w:rPr>
        <w:t>, the provisions of which are incorporated herein by reference and shall survive the termination or expiration of this Agreement.</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ENGAGEMENT TERM</w:t>
      </w:r>
      <w:r>
        <w:rPr>
          <w:rFonts w:ascii="Times New Roman" w:cs="Times New Roman" w:eastAsia="Times New Roman" w:hAnsi="Times New Roman"/>
          <w:sz w:val="18"/>
          <w:szCs w:val="18"/>
          <w:color w:val="auto"/>
        </w:rPr>
        <w:t>. The Placement Agent’s engagement hereunder shall be until the earlier of (i) the final closing date of the Placement and (ii) the date a party terminates the engagement according to the terms of the next sentence (such date,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and the period of time during which this Agreement remains in effect is referred to herein as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After an initial period of four (4) weeks from the date hereof, the engagement may be terminated at any time by either party upon five (5) days written notice to the other party, effective upon receipt of written notice to that effect by the other party. Notwithstanding anything to the contrary contained herein, the provisions concerning the Company’s obligation to pay any fees actually earned pursuant to Section 3 hereof and the provisions concerning confidentiality, indemnification and contribution contained herein and the Company’s obligations contained in the Indemnification Provisions will survive any expiration or termination of this Agreement. If this Agreement is terminated prior to the completion of the Placement, all fees due to the Placement Agent shall be paid by the Company to the Placement Agent on or before the Termination Date (in the event such fees are earned or owed as of the Termination Date). The Placement Agent agrees not to use any confidential information concerning the Company provided to the Placement Agent by the Company for any purposes other than those contemplated under this Agreement.</w:t>
      </w:r>
    </w:p>
    <w:p>
      <w:pPr>
        <w:sectPr>
          <w:pgSz w:w="11900" w:h="16838" w:orient="portrait"/>
          <w:cols w:equalWidth="0" w:num="1">
            <w:col w:w="11000"/>
          </w:cols>
          <w:pgMar w:left="440" w:top="270" w:right="459" w:bottom="1440" w:gutter="0" w:footer="0" w:header="0"/>
        </w:sectPr>
      </w:pPr>
    </w:p>
    <w:bookmarkStart w:id="8" w:name="page9"/>
    <w:bookmarkEnd w:id="8"/>
    <w:p>
      <w:pPr>
        <w:ind w:left="4"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PLACEMENT AGENT INFORMATION</w:t>
      </w:r>
      <w:r>
        <w:rPr>
          <w:rFonts w:ascii="Times New Roman" w:cs="Times New Roman" w:eastAsia="Times New Roman" w:hAnsi="Times New Roman"/>
          <w:sz w:val="18"/>
          <w:szCs w:val="18"/>
          <w:color w:val="auto"/>
        </w:rPr>
        <w:t>. The Company agrees that any information or advice rendered by the Placement Agent in connection with this engagement is for the confidential use of the Company only in their evaluation of the Placement and, except as otherwise required by law, the Company will not disclose or otherwise refer to the advice or information in any manner without the Placement Agent’s prior written consent.</w:t>
      </w:r>
    </w:p>
    <w:p>
      <w:pPr>
        <w:spacing w:after="0" w:line="180"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This Agreement does not create, and shall not be construed as creating rights enforceable by any person or entity not a party hereto, except those entitled hereto by virtue of the Indemnification Provisions hereof. The Company acknowledges and agrees that the Placement Agent is not and shall not be construed as a fiduciary of the Company and shall have no duties or liabilities to the equity holders or the creditors of the Company or any other person by virtue of this Agreement or the retention of the Placement Agent hereunder, all of which are hereby expressly waived.</w:t>
      </w:r>
    </w:p>
    <w:p>
      <w:pPr>
        <w:spacing w:after="0" w:line="183"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obligations of the Placement Agent, and the closing of the sale of the Securities hereunder are subject to the accuracy, when made and on the Closing Date, of the representations and warranties on the part of the Company contained herein and in the Purchase Agreement, to the accuracy of the statements of the Company made in any certificates pursuant to the provisions hereof, to the performance by the Company of their obligations hereunder, and to each of the following additional terms and conditions, except as otherwise disclosed to and acknowledged and waived by the Placement Agent by the Company:</w:t>
      </w:r>
    </w:p>
    <w:p>
      <w:pPr>
        <w:spacing w:after="0" w:line="75" w:lineRule="exact"/>
        <w:rPr>
          <w:sz w:val="20"/>
          <w:szCs w:val="20"/>
          <w:color w:val="auto"/>
        </w:rPr>
      </w:pPr>
    </w:p>
    <w:p>
      <w:pPr>
        <w:jc w:val="both"/>
        <w:ind w:left="4" w:right="100"/>
        <w:spacing w:after="0" w:line="281" w:lineRule="auto"/>
        <w:rPr>
          <w:sz w:val="20"/>
          <w:szCs w:val="20"/>
          <w:color w:val="auto"/>
        </w:rPr>
      </w:pPr>
      <w:r>
        <w:rPr>
          <w:rFonts w:ascii="Times New Roman" w:cs="Times New Roman" w:eastAsia="Times New Roman" w:hAnsi="Times New Roman"/>
          <w:sz w:val="17"/>
          <w:szCs w:val="17"/>
          <w:color w:val="auto"/>
        </w:rPr>
        <w:t>A. No stop order suspending the effectiveness of the Registration Statement shall have been issued and no proceedings for that purpose shall have been initiated or threatened by the Commission, and any request for additional information on the part of the Commission (to be included in the Registration Statement, the Base Prospectus, the Prospectus Supplement or otherwise) shall have been complied with to the reasonable satisfaction of the Placement Agent. Any filings required to be made by the Company in connection with the Placement shall have been timely filed with the Commission.</w:t>
      </w:r>
    </w:p>
    <w:p>
      <w:pPr>
        <w:spacing w:after="0" w:line="164" w:lineRule="exact"/>
        <w:rPr>
          <w:sz w:val="20"/>
          <w:szCs w:val="20"/>
          <w:color w:val="auto"/>
        </w:rPr>
      </w:pPr>
    </w:p>
    <w:p>
      <w:pPr>
        <w:jc w:val="both"/>
        <w:ind w:left="4" w:right="260"/>
        <w:spacing w:after="0" w:line="261" w:lineRule="auto"/>
        <w:rPr>
          <w:sz w:val="20"/>
          <w:szCs w:val="20"/>
          <w:color w:val="auto"/>
        </w:rPr>
      </w:pPr>
      <w:r>
        <w:rPr>
          <w:rFonts w:ascii="Times New Roman" w:cs="Times New Roman" w:eastAsia="Times New Roman" w:hAnsi="Times New Roman"/>
          <w:sz w:val="18"/>
          <w:szCs w:val="18"/>
          <w:color w:val="auto"/>
        </w:rPr>
        <w:t>B. The Placement Agent shall not have discovered and disclosed to the Company on or prior to the Closing Date that the Registration Statement, the Base Prospectus, the Prospectus Supplement or any amendment or supplement thereto contains an untrue statement of a fact which, in the reasonable opinion of counsel for the Placement Agent, is material or omits to state any fact which, in the reasonable opinion of such counsel, is material and is required to be stated therein or is necessary to make the statements therein not misleading.</w:t>
      </w:r>
    </w:p>
    <w:p>
      <w:pPr>
        <w:spacing w:after="0" w:line="180"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C. All corporate proceedings and other legal matters incident to the authorization, form, execution, delivery and validity of each of this Agreement, the Securities, the Registration Statement, the Base Prospectus and the Prospectus Supplement and all other legal matters relating to this Agreement and the transactions contemplated hereby shall be reasonably satisfactory in all material respects to counsel for the Placement Agent, and the Company shall have furnished to such counsel all documents and information that they may reasonably request to enable them to pass upon such matters.</w:t>
      </w:r>
    </w:p>
    <w:p>
      <w:pPr>
        <w:spacing w:after="0" w:line="180"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D. The Placement Agent shall have received from Mintz, Levin, Cohn, Ferris, Glovsky and Popeo, P.C., outside counsel to the Company, such counsel’s written opinion, addressed to the Placement Agent and the Purchasers and dated as of the Closing Date, in form and substance reasonably satisfactory to the Placement Agent.</w:t>
      </w:r>
    </w:p>
    <w:p>
      <w:pPr>
        <w:spacing w:after="0" w:line="176" w:lineRule="exact"/>
        <w:rPr>
          <w:sz w:val="20"/>
          <w:szCs w:val="20"/>
          <w:color w:val="auto"/>
        </w:rPr>
      </w:pPr>
    </w:p>
    <w:p>
      <w:pPr>
        <w:ind w:left="204" w:hanging="204"/>
        <w:spacing w:after="0"/>
        <w:tabs>
          <w:tab w:leader="none" w:pos="2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hanging="4"/>
        <w:spacing w:after="0" w:line="266"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Placement Agent shall have received a certificate of the Chief Financial Officer of the Company, in his capacity as such, dated, as applicable, as of the date of such Closing, certifying to certain financial matters, in form and substance reasonably satisfactory to the Placement Agent.</w:t>
      </w:r>
    </w:p>
    <w:p>
      <w:pPr>
        <w:spacing w:after="0" w:line="175" w:lineRule="exact"/>
        <w:rPr>
          <w:rFonts w:ascii="Times New Roman" w:cs="Times New Roman" w:eastAsia="Times New Roman" w:hAnsi="Times New Roman"/>
          <w:sz w:val="18"/>
          <w:szCs w:val="18"/>
          <w:color w:val="auto"/>
        </w:rPr>
      </w:pPr>
    </w:p>
    <w:p>
      <w:pPr>
        <w:ind w:left="4" w:right="160" w:hanging="4"/>
        <w:spacing w:after="0" w:line="266" w:lineRule="auto"/>
        <w:tabs>
          <w:tab w:leader="none" w:pos="2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Placement Agent shall have received a certificate of the Chief Executive Officer of the Company, in his capacity as such, dated as of the date of such Closing, to the effect that, as of the date of this Agreement and as of the applicable date, the representations and warranties of the Company contained herein and in</w:t>
      </w:r>
    </w:p>
    <w:p>
      <w:pPr>
        <w:sectPr>
          <w:pgSz w:w="11900" w:h="16838" w:orient="portrait"/>
          <w:cols w:equalWidth="0" w:num="1">
            <w:col w:w="11004"/>
          </w:cols>
          <w:pgMar w:left="436" w:top="270" w:right="459" w:bottom="1440" w:gutter="0" w:footer="0" w:header="0"/>
        </w:sectPr>
      </w:pPr>
    </w:p>
    <w:bookmarkStart w:id="9" w:name="page10"/>
    <w:bookmarkEnd w:id="9"/>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Purchase Agreement were and are accurate in all material respects, except for such changes as are contemplated by this Agreement and except as to representations and warranties that were expressly limited to a state of facts existing at a time prior to the applicable Closing Date, and that, as of the applicable date, the obligations to be performed by the Company hereunder on or prior thereto have been fully performed in all material respects.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 On the Closing Date, the Placement Agent shall have received a certificate of the Secretary of the Company, in his capacity as such, dated as of the date of such Closing, certifying to the organizational documents, good standing in the state of incorporation of the Company and board resolutions relating to the Placement of the Securities from the Company.</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 On the Closing Date, the Placement Agent shall have received a “comfort” letter from Grant Thornton LLP, addressed to the Placement Agent and in form and substance reasonably satisfactory to the Placement Agent.</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J. The Company (i) shall not have sustained since the date of the latest audited financial statements included or incorporated by reference in the Registration Statement, the Base Prospectus and the Prospectus Supplement, any loss or interference with its business from fire, explosion, flood, terrorist act or other calamity, whether or not covered by insurance, or from any labor dispute or court or governmental action, order or decree, otherwise than as set forth in or contemplated by the Registration Statement, the Base Prospectus and the Prospectus Supplement, and (ii) since the date of the latest audited financial statements included or incorporated by reference in the Registration Statement, the Base Prospectus and the Prospectus Supplement there shall not have been any change in the capital stock or long-term debt of the Company or any change, or any development involving a prospective change, in or affecting the business, general affairs, management, financial position, stockholders’ equity, results of operations or prospects of the Company, otherwise than as set forth in or contemplated by the Registration Statement, the Base Prospectus and the Prospectus Supplement, the effect of which, in any such case described in clause (i) or (ii), is, in the judgment of the Placement Agent, so material and adverse as to make it impracticable or inadvisable to proceed with the sale or delivery of the Securities on the terms and in the manner contemplated by the Base Prospectus, Prospectus Supplement and the Purchase Agreement.</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K. The Common Stock is registered under the Exchange Act and, as of the Closing Date, the Common Stock shall be listed for trading on the Trading Market or other applicable U.S. national exchange and reasonable evidence of such action, if available, shall have been provided to the Placement Agent upon its request. The Company shall have taken no action designed to, or likely to have the effect of terminating the registration of the Common Stock under the Exchange Act or delisting or suspending from trading the Common Stock from the Trading Market or other applicable U.S. national exchange, nor has the Company received any information suggesting that the Commission or the Trading Market or other U.S. applicable national exchange is contemplating terminating such registration or listing.</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L. No action shall have been taken and no statute, rule, regulation or order shall have been enacted, adopted or issued by any governmental agency or body which would, as of the Closing Date, prevent the issuance or sale of the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Securities or materially and adversely affect or potentially and adversely affect the business or operations of the Company.</w:t>
      </w:r>
    </w:p>
    <w:p>
      <w:pPr>
        <w:spacing w:after="0" w:line="18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M. The Company shall have prepared for filing with the Commission a Current Report on Form 8-K with respect to the Placement, including as an exhibit thereto this Agreement.</w:t>
      </w:r>
    </w:p>
    <w:p>
      <w:pPr>
        <w:spacing w:after="0" w:line="16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N. Any Purchase Agreement entered into by the Company with a Purchaser shall be in full force and effect and shall contain representations, warranties and covenants of the Company as agreed between the Company and the Purchaser.</w:t>
      </w:r>
    </w:p>
    <w:p>
      <w:pPr>
        <w:spacing w:after="0" w:line="162"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O. FINRA shall have raised no objection to the fairness and reasonableness of the terms and arrangements of this Agreement. In addition, the Company shall, if requested by the Placement Agent, make or authorize Placement Agent’s counsel to make on the Company’s behalf, any filing with the FINRA Corporate Financing Department pursuant to FINRA Rule 5110 with respect to the Placement and pay all filing fees required in connection therewith.</w:t>
      </w:r>
    </w:p>
    <w:p>
      <w:pPr>
        <w:sectPr>
          <w:pgSz w:w="11900" w:h="16838" w:orient="portrait"/>
          <w:cols w:equalWidth="0" w:num="1">
            <w:col w:w="11000"/>
          </w:cols>
          <w:pgMar w:left="440" w:top="270" w:right="459" w:bottom="1440" w:gutter="0" w:footer="0" w:header="0"/>
        </w:sectPr>
      </w:pPr>
    </w:p>
    <w:bookmarkStart w:id="10" w:name="page11"/>
    <w:bookmarkEnd w:id="10"/>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 Prior to the Closing Date, the Company shall have furnished to the Placement Agent such further information, certificates and documents as the Placement Agent may reasonably request. If any of the conditions specified in this Section 8 shall not have been fulfilled when and as required by this Agreement, or if any of the certificates, opinions, written statements or letters furnished to the Placement Agent pursuant to this Section 8 shall not be reasonably satisfactory in form and substance to the Placement Agent, all obligations of the Placement Agent hereunder may be cancelled by the Placement Agent at, or at any time prior to, the consummation of the Closing. Notice of such cancellation shall be given to the Company in writing or orally. Any such oral notice shall be confirmed promptly thereafter in writing.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[RESERVED].</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and construed in accordance with, the laws of the State of New York applicable to agreements made and to be performed entirely in such State without regard to the conflicts of laws principles thereof.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a Transaction Document, then the prevailing party in such action or proceeding shall be reimbursed by the other party for its attorney’s fees and other costs and expenses incurred with the investigation, preparation and prosecution of such action or proceeding.</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ENTIRE AGREEMENT/MISC</w:t>
      </w:r>
      <w:r>
        <w:rPr>
          <w:rFonts w:ascii="Times New Roman" w:cs="Times New Roman" w:eastAsia="Times New Roman" w:hAnsi="Times New Roman"/>
          <w:sz w:val="18"/>
          <w:szCs w:val="18"/>
          <w:color w:val="auto"/>
        </w:rPr>
        <w:t>. This Agreement (including the attached Indemnification Provisions)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the Placement Agent and the Company. The representations, warranties, agreements and covenants contained herein shall survive the closing of the Placement and delivery of the Securities.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spacing w:after="0" w:line="19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The Placement Agent (i) will keep the Confidential Information (as such term is defined below) confidential and will not (except as required by applicable law or stock exchange requirement, regulation or legal process (“</w:t>
      </w:r>
      <w:r>
        <w:rPr>
          <w:rFonts w:ascii="Times New Roman" w:cs="Times New Roman" w:eastAsia="Times New Roman" w:hAnsi="Times New Roman"/>
          <w:sz w:val="17"/>
          <w:szCs w:val="17"/>
          <w:b w:val="1"/>
          <w:bCs w:val="1"/>
          <w:color w:val="auto"/>
        </w:rPr>
        <w:t>Legal Requirement</w:t>
      </w:r>
      <w:r>
        <w:rPr>
          <w:rFonts w:ascii="Times New Roman" w:cs="Times New Roman" w:eastAsia="Times New Roman" w:hAnsi="Times New Roman"/>
          <w:sz w:val="17"/>
          <w:szCs w:val="17"/>
          <w:color w:val="auto"/>
        </w:rPr>
        <w:t>”)), without the Company’s prior written consent, disclose to any person any Confidential Information, and (ii) will not use any Confidential Information other than in connection with the Placement. The Placement Agent further agrees to disclose the Confidential Information only to its Representatives (as such term is defined below) who need to know the Confidential Information for the purpose of the Placement, and who are informed by the Placement Agent of the confidential nature of the Confidential Information. The term “</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shall mean, all confidential, proprietary and non-public information (whether written, oral or electronic communications) furnished by the Company to a Placement Agent or its Representatives in connection with the Placement Agent’s evaluation of the Placement. The term “</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will not, however, include information which (i) is or becomes publicly available other than as a result of a disclosure by a Placement Agent or its Representatives in violation of this Agreement, (ii) is or becomes available to a Placement Agent or any of its Representatives on a non-confidential basis from a third-party, (iii) is known to a Placement Agent</w:t>
      </w:r>
    </w:p>
    <w:p>
      <w:pPr>
        <w:sectPr>
          <w:pgSz w:w="11900" w:h="16838" w:orient="portrait"/>
          <w:cols w:equalWidth="0" w:num="1">
            <w:col w:w="10980"/>
          </w:cols>
          <w:pgMar w:left="440" w:top="270" w:right="479" w:bottom="1440" w:gutter="0" w:footer="0" w:header="0"/>
        </w:sectPr>
      </w:pPr>
    </w:p>
    <w:bookmarkStart w:id="11" w:name="page12"/>
    <w:bookmarkEnd w:id="1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of its Representatives prior to disclosure by the Company or any of its Representatives, or (iv) is or has been independently developed by a Placement Agent and/or the Representatives without use of any Confidential Information furnished to it by the Company. The term “Representatives” shall mean the Placement Agent’s directors, board committees, officers, employees, financial advisors, attorneys and accountants. This provision shall be in full force until the earlier of (a) the date that the Confidential Information ceases to be confidential and (b) two years from the date hereof. Notwithstanding any of the foregoing, in the event that the Placement Agent or any of its Representatives are required by Legal Requirement to disclose any of the Confidential Information, the Placement Agent and its Representatives will furnish only that portion of the Confidential Information which the Placement Agent or its Representative, as applicable, is required to disclose by Legal Requirement as advised by counsel, and will use reasonable efforts to obtain reliable assurance that confidential treatment will be accorded the Confidential Information so disclosed.</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PRESS ANNOUNCEMENTS</w:t>
      </w:r>
      <w:r>
        <w:rPr>
          <w:rFonts w:ascii="Times New Roman" w:cs="Times New Roman" w:eastAsia="Times New Roman" w:hAnsi="Times New Roman"/>
          <w:sz w:val="18"/>
          <w:szCs w:val="18"/>
          <w:color w:val="auto"/>
        </w:rPr>
        <w:t>. The Company agrees that the Placement Agent shall, from and after any Closing,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confirm that the foregoing correctly sets forth our agreement by signing and returning to Lake Street the enclosed copy of this Agreement.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LAKE STREET CAPITAL MARKETS,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Townley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Michael Townley</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Head of Investment Banking</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920 Second Avenue South, Suite 700</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Attention: Michael Townley, Head of Investment Banking</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Email: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HYPERFINE,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Brett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Brett Hale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Administration Officer, Chief Financial</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Officer, Treasurer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Hyperfine,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351A New Whitfield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Guilford, CT 06437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Chief Administration Officer, Chief Financial Officer, Treasurer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Placement Agency Agreement</w:t>
      </w:r>
      <w:r>
        <w:rPr>
          <w:rFonts w:ascii="Times New Roman" w:cs="Times New Roman" w:eastAsia="Times New Roman" w:hAnsi="Times New Roman"/>
          <w:sz w:val="18"/>
          <w:szCs w:val="18"/>
          <w:color w:val="auto"/>
        </w:rPr>
        <w:t>]</w:t>
      </w:r>
    </w:p>
    <w:p>
      <w:pPr>
        <w:sectPr>
          <w:pgSz w:w="11900" w:h="16838" w:orient="portrait"/>
          <w:cols w:equalWidth="0" w:num="1">
            <w:col w:w="10800"/>
          </w:cols>
          <w:pgMar w:left="440" w:top="270" w:right="659" w:bottom="1440" w:gutter="0" w:footer="0" w:header="0"/>
        </w:sectPr>
      </w:pPr>
    </w:p>
    <w:bookmarkStart w:id="13" w:name="page14"/>
    <w:bookmarkEnd w:id="13"/>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ADDENDUM A</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PROVISIONS</w:t>
      </w:r>
    </w:p>
    <w:p>
      <w:pPr>
        <w:spacing w:after="0" w:line="207"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engagement of Lake Street Capital Markets, LLC (the “Placement Agent”) by Hyperfine, Inc. (the “Company”) pursuant to a placement agency agreement dated as of the date hereof, between the Company and the Placement Agent, as it may be amended from time to time in writing (the “Agreement”), the Company hereby agrees as follows:</w:t>
      </w:r>
    </w:p>
    <w:p>
      <w:pPr>
        <w:spacing w:after="0" w:line="68" w:lineRule="exact"/>
        <w:rPr>
          <w:sz w:val="20"/>
          <w:szCs w:val="20"/>
          <w:color w:val="auto"/>
        </w:rPr>
      </w:pPr>
    </w:p>
    <w:p>
      <w:pPr>
        <w:ind w:left="4" w:right="100" w:hanging="4"/>
        <w:spacing w:after="0" w:line="255"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the Company will indemnify the Placement Agent and its affiliates, directors, officers, employees and controlling persons (within the meaning of Section 15 of the Securities Act of 1933, as amended, or Section 20 of the Securities Exchange Act of 1934, as amended) against all losses, claims, damages, expenses and liabilities, as the same are incurred (including the reasonable and documented fees and expenses of counsel), relating to or arising out of its activities hereunder or pursuant to the Agreement, except, with regard to the Placement Agent, to the extent that any losses, claims, damages, expenses or liabilities (or actions in respect thereof) are found in a final judgment (not subject to appeal) by a court of law to have resulted primarily and directly from the willful misconduct, bad faith or gross negligence in performing the services described herein, as the case may be of any or all of the Placement Agent.</w:t>
      </w:r>
    </w:p>
    <w:p>
      <w:pPr>
        <w:spacing w:after="0" w:line="188" w:lineRule="exact"/>
        <w:rPr>
          <w:rFonts w:ascii="Times New Roman" w:cs="Times New Roman" w:eastAsia="Times New Roman" w:hAnsi="Times New Roman"/>
          <w:sz w:val="18"/>
          <w:szCs w:val="18"/>
          <w:color w:val="auto"/>
        </w:rPr>
      </w:pPr>
    </w:p>
    <w:p>
      <w:pPr>
        <w:ind w:left="4" w:right="40" w:hanging="4"/>
        <w:spacing w:after="0" w:line="253"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the Placement Agent of notice of any claim or the commencement of any action or proceeding with respect to which the Placement Agent is entitled to indemnity hereunder, the Placement Agent will notify the Company in writing of such claim or of the commencement of such action or proceeding, and the Company will assume the defense of such action or proceeding and will employ counsel reasonably satisfactory to the Placement Agent and will pay the reasonable fees and expenses of such counsel. Notwithstanding the preceding sentence, the Placement Agent will be entitled to employ counsel separate from counsel for the Company and from any other party in such action if counsel for the Placement Agent reasonably determines that it would be inappropriate under the applicable rules of professional responsibility for the same counsel to represent both the Company and the Placement Agent. In such event, the reasonable and documented fees and disbursements of no more than one such separate counsel will be paid by the Company. The Company will have the exclusive right to settle the claim or proceeding provided that the Company will not settle any such claim, action or proceeding without the prior written consent of the Placement Agent, which will not be unreasonably withheld, unless such settlement includes an unconditional release of the Placement Agent from all liability arising out of such claim, action or proceeding.</w:t>
      </w:r>
    </w:p>
    <w:p>
      <w:pPr>
        <w:spacing w:after="0" w:line="194" w:lineRule="exact"/>
        <w:rPr>
          <w:rFonts w:ascii="Times New Roman" w:cs="Times New Roman" w:eastAsia="Times New Roman" w:hAnsi="Times New Roman"/>
          <w:sz w:val="18"/>
          <w:szCs w:val="18"/>
          <w:color w:val="auto"/>
        </w:rPr>
      </w:pPr>
    </w:p>
    <w:p>
      <w:pPr>
        <w:ind w:left="4" w:right="20" w:hanging="4"/>
        <w:spacing w:after="0" w:line="282"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notify the Placement Agent promptly of the assertion against it or any other person of any claim or the commencement of any action or proceeding relating to a transaction contemplated by the Agreement.</w:t>
      </w:r>
    </w:p>
    <w:p>
      <w:pPr>
        <w:spacing w:after="0" w:line="161" w:lineRule="exact"/>
        <w:rPr>
          <w:rFonts w:ascii="Times New Roman" w:cs="Times New Roman" w:eastAsia="Times New Roman" w:hAnsi="Times New Roman"/>
          <w:sz w:val="18"/>
          <w:szCs w:val="18"/>
          <w:color w:val="auto"/>
        </w:rPr>
      </w:pPr>
    </w:p>
    <w:p>
      <w:pPr>
        <w:ind w:left="4" w:right="20" w:hanging="4"/>
        <w:spacing w:after="0" w:line="254"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the foregoing indemnity is unavailable to the Placement Agent or insufficient to hold the Placement Agent harmless, then the Company shall contribute to the amount paid or payable by the Placement Agent, as the case may be, as a result of such losses, claims, damages or liabilities in such proportion as is appropriate to reflect not only the relative benefits received by the Company on the one hand, and the Placement Agent on the other, but also the relative fault of the Company on the one hand and the Placement Agent on the other that resulted in such losses, claims, damages or liabilities, as well as any relevant equitable considerations. The amounts paid or payable by a party in respect of losses, claims, damages and liabilities referred to above shall be deemed to include any legal or other fees and expenses incurred in defending any litigation, proceeding or other action or claim. Notwithstanding the provisions hereof, the Placement Agent’s share of the liability hereunder shall not be in excess of the amount of fees actually received, or to be received, by the Placement Agent under the Agreement (excluding any amounts received as reimbursement of expenses incurred by the Placement Agent).</w:t>
      </w:r>
    </w:p>
    <w:p>
      <w:pPr>
        <w:spacing w:after="0" w:line="188"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Indemnification Provisions shall remain in full force and effect whether or not the transaction contemplated by the Agreement is completed and shall survive the termination of the Agreement, and shall be in addition to any liability that the Company might otherwise have to any indemnified party under the Agreement or otherwise.</w:t>
      </w:r>
    </w:p>
    <w:p>
      <w:pPr>
        <w:spacing w:after="0" w:line="1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ectPr>
          <w:pgSz w:w="11900" w:h="16838" w:orient="portrait"/>
          <w:cols w:equalWidth="0" w:num="1">
            <w:col w:w="11004"/>
          </w:cols>
          <w:pgMar w:left="436" w:top="266" w:right="459" w:bottom="1440" w:gutter="0" w:footer="0" w:header="0"/>
        </w:sectPr>
      </w:pPr>
    </w:p>
    <w:bookmarkStart w:id="14" w:name="page15"/>
    <w:bookmarkEnd w:id="14"/>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LAKE STREET CAPITAL MARKETS,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Townley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Michael Townley</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Head of Investment Banking</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920 Second Avenue South, Suite 700</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Attention: Mark Argento, Head of Investment Banking</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Email: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HYPERFINE,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Brett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Brett Hale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Administration Officer, Chief Financial</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Officer, Treasurer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Hyperfine,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351A New Whitfield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Guilford, CT 06437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Chief Administration Officer, Chief Financial Officer, Treasurer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Indemnification Provisions</w:t>
      </w:r>
    </w:p>
    <w:p>
      <w:pPr>
        <w:spacing w:after="0" w:line="2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Pursuant to Placement Agency Agreement</w:t>
      </w:r>
      <w:r>
        <w:rPr>
          <w:rFonts w:ascii="Times New Roman" w:cs="Times New Roman" w:eastAsia="Times New Roman" w:hAnsi="Times New Roman"/>
          <w:sz w:val="18"/>
          <w:szCs w:val="18"/>
          <w:color w:val="auto"/>
        </w:rPr>
        <w:t>]</w:t>
      </w:r>
    </w:p>
    <w:p>
      <w:pPr>
        <w:sectPr>
          <w:pgSz w:w="11900" w:h="16838" w:orient="portrait"/>
          <w:cols w:equalWidth="0" w:num="1">
            <w:col w:w="10580"/>
          </w:cols>
          <w:pgMar w:left="440" w:top="270" w:right="879" w:bottom="1440" w:gutter="0" w:footer="0" w:header="0"/>
        </w:sectPr>
      </w:pPr>
    </w:p>
    <w:bookmarkStart w:id="15" w:name="page16"/>
    <w:bookmarkEnd w:id="15"/>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CLASS A COMMON STOCK PURCHASE WARRANT</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HYPERFINE,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 Exercise Date: February 12, 2025</w:t>
      </w:r>
    </w:p>
    <w:p>
      <w:pPr>
        <w:spacing w:after="0" w:line="200" w:lineRule="exact"/>
        <w:rPr>
          <w:sz w:val="20"/>
          <w:szCs w:val="20"/>
          <w:color w:val="auto"/>
        </w:rPr>
      </w:pPr>
    </w:p>
    <w:p>
      <w:pPr>
        <w:sectPr>
          <w:pgSz w:w="11900" w:h="16838" w:orient="portrait"/>
          <w:cols w:equalWidth="0" w:num="2">
            <w:col w:w="6900" w:space="720"/>
            <w:col w:w="3400"/>
          </w:cols>
          <w:pgMar w:left="440" w:top="117" w:right="439" w:bottom="1440" w:gutter="0" w:footer="0" w:header="0"/>
          <w:type w:val="continuous"/>
        </w:sectPr>
      </w:pPr>
    </w:p>
    <w:p>
      <w:pPr>
        <w:spacing w:after="0" w:line="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 assigns (the</w:t>
      </w:r>
    </w:p>
    <w:p>
      <w:pPr>
        <w:spacing w:after="0" w:line="2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on or prior to 5:00 p.m. (New York City time) on February 12, 2030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Hyperfine,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of Class A common stock, par value</w:t>
      </w:r>
    </w:p>
    <w:p>
      <w:pPr>
        <w:ind w:right="20"/>
        <w:spacing w:after="0" w:line="260" w:lineRule="auto"/>
        <w:rPr>
          <w:sz w:val="20"/>
          <w:szCs w:val="20"/>
          <w:color w:val="auto"/>
        </w:rPr>
      </w:pPr>
      <w:r>
        <w:rPr>
          <w:rFonts w:ascii="Times New Roman" w:cs="Times New Roman" w:eastAsia="Times New Roman" w:hAnsi="Times New Roman"/>
          <w:sz w:val="18"/>
          <w:szCs w:val="18"/>
          <w:color w:val="auto"/>
        </w:rPr>
        <w:t>$0.0001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1" w:lineRule="exact"/>
        <w:rPr>
          <w:sz w:val="20"/>
          <w:szCs w:val="20"/>
          <w:color w:val="auto"/>
        </w:rPr>
      </w:pPr>
    </w:p>
    <w:p>
      <w:pPr>
        <w:ind w:right="68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dated February 11, 2025, among the Company and the purchasers signatory thereto.</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3" w:lineRule="auto"/>
        <w:tabs>
          <w:tab w:leader="none" w:pos="10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type w:val="continuous"/>
        </w:sectPr>
      </w:pPr>
    </w:p>
    <w:bookmarkStart w:id="16" w:name="page17"/>
    <w:bookmarkEnd w:id="16"/>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79" w:lineRule="exact"/>
        <w:rPr>
          <w:sz w:val="20"/>
          <w:szCs w:val="20"/>
          <w:color w:val="auto"/>
        </w:rPr>
      </w:pPr>
    </w:p>
    <w:p>
      <w:pPr>
        <w:ind w:right="280" w:firstLine="419"/>
        <w:spacing w:after="0" w:line="282" w:lineRule="auto"/>
        <w:tabs>
          <w:tab w:leader="none" w:pos="6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$1.33,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100" w:firstLine="419"/>
        <w:spacing w:after="0" w:line="261" w:lineRule="auto"/>
        <w:tabs>
          <w:tab w:leader="none" w:pos="6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85" w:lineRule="exact"/>
        <w:rPr>
          <w:sz w:val="20"/>
          <w:szCs w:val="20"/>
          <w:color w:val="auto"/>
        </w:rPr>
      </w:pPr>
    </w:p>
    <w:p>
      <w:pPr>
        <w:ind w:left="980" w:hanging="431"/>
        <w:spacing w:after="0" w:line="253" w:lineRule="auto"/>
        <w:rPr>
          <w:sz w:val="20"/>
          <w:szCs w:val="20"/>
          <w:color w:val="auto"/>
        </w:rPr>
      </w:pPr>
      <w:r>
        <w:rPr>
          <w:rFonts w:ascii="Times New Roman" w:cs="Times New Roman" w:eastAsia="Times New Roman" w:hAnsi="Times New Roman"/>
          <w:sz w:val="18"/>
          <w:szCs w:val="18"/>
          <w:color w:val="auto"/>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(x) the VWAP on the Trading Day immediately preceding the date of the applicable Notice of Exercise or (y) the Bid Price of the Common Stock on the principal Trading Market as reported by Bloomberg L.P. (“Bloomberg”)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 = the Exercise Price, as adjusted hereunder; and</w:t>
      </w:r>
    </w:p>
    <w:p>
      <w:pPr>
        <w:spacing w:after="0" w:line="131" w:lineRule="exact"/>
        <w:rPr>
          <w:sz w:val="20"/>
          <w:szCs w:val="20"/>
          <w:color w:val="auto"/>
        </w:rPr>
      </w:pPr>
    </w:p>
    <w:p>
      <w:pPr>
        <w:ind w:left="980" w:right="220" w:hanging="431"/>
        <w:spacing w:after="0" w:line="282" w:lineRule="auto"/>
        <w:rPr>
          <w:sz w:val="20"/>
          <w:szCs w:val="20"/>
          <w:color w:val="auto"/>
        </w:rPr>
      </w:pPr>
      <w:r>
        <w:rPr>
          <w:rFonts w:ascii="Times New Roman" w:cs="Times New Roman" w:eastAsia="Times New Roman" w:hAnsi="Times New Roman"/>
          <w:sz w:val="18"/>
          <w:szCs w:val="18"/>
          <w:color w:val="auto"/>
        </w:rPr>
        <w:t>(X) = the number of Warrant Shares that would be issuable upon exercise of this Warrant in accordance with the terms of this Warrant if such exercise were by means of a cash exercise rather than a cashless exercise.</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40"/>
          </w:cols>
          <w:pgMar w:left="880" w:top="270" w:right="479" w:bottom="1440" w:gutter="0" w:footer="0" w:header="0"/>
        </w:sectPr>
      </w:pPr>
    </w:p>
    <w:bookmarkStart w:id="17" w:name="page18"/>
    <w:bookmarkEnd w:id="17"/>
    <w:p>
      <w:pPr>
        <w:ind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68" w:lineRule="exact"/>
        <w:rPr>
          <w:sz w:val="20"/>
          <w:szCs w:val="20"/>
          <w:color w:val="auto"/>
        </w:rPr>
      </w:pPr>
    </w:p>
    <w:p>
      <w:pPr>
        <w:ind w:right="10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ind w:firstLine="423"/>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(Eastern time) to 4:02 p.m. (New York City time)), (b) if the OTCQB Venture Market (“</w:t>
      </w:r>
      <w:r>
        <w:rPr>
          <w:rFonts w:ascii="Times New Roman" w:cs="Times New Roman" w:eastAsia="Times New Roman" w:hAnsi="Times New Roman"/>
          <w:sz w:val="17"/>
          <w:szCs w:val="17"/>
          <w:u w:val="single" w:color="auto"/>
          <w:color w:val="auto"/>
        </w:rPr>
        <w:t>OTCQB</w:t>
      </w:r>
      <w:r>
        <w:rPr>
          <w:rFonts w:ascii="Times New Roman" w:cs="Times New Roman" w:eastAsia="Times New Roman" w:hAnsi="Times New Roman"/>
          <w:sz w:val="17"/>
          <w:szCs w:val="17"/>
          <w:color w:val="auto"/>
        </w:rPr>
        <w:t>”) or the OTCQX Best Market (“</w:t>
      </w:r>
      <w:r>
        <w:rPr>
          <w:rFonts w:ascii="Times New Roman" w:cs="Times New Roman" w:eastAsia="Times New Roman" w:hAnsi="Times New Roman"/>
          <w:sz w:val="17"/>
          <w:szCs w:val="17"/>
          <w:u w:val="single" w:color="auto"/>
          <w:color w:val="auto"/>
        </w:rPr>
        <w:t>OTCQX</w:t>
      </w:r>
      <w:r>
        <w:rPr>
          <w:rFonts w:ascii="Times New Roman" w:cs="Times New Roman" w:eastAsia="Times New Roman" w:hAnsi="Times New Roman"/>
          <w:sz w:val="17"/>
          <w:szCs w:val="17"/>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7"/>
          <w:szCs w:val="17"/>
          <w:u w:val="single" w:color="auto"/>
          <w:color w:val="auto"/>
        </w:rPr>
        <w:t>Pink Market</w:t>
      </w:r>
      <w:r>
        <w:rPr>
          <w:rFonts w:ascii="Times New Roman" w:cs="Times New Roman" w:eastAsia="Times New Roman" w:hAnsi="Times New Roman"/>
          <w:sz w:val="17"/>
          <w:szCs w:val="17"/>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18" w:name="page19"/>
    <w:bookmarkEnd w:id="18"/>
    <w:p>
      <w:pPr>
        <w:ind w:left="201" w:hanging="201"/>
        <w:spacing w:after="0"/>
        <w:tabs>
          <w:tab w:leader="none" w:pos="2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1" w:hanging="149"/>
        <w:spacing w:after="0"/>
        <w:tabs>
          <w:tab w:leader="none" w:pos="110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w:t>
      </w:r>
    </w:p>
    <w:p>
      <w:pPr>
        <w:spacing w:after="0" w:line="27" w:lineRule="exact"/>
        <w:rPr>
          <w:rFonts w:ascii="Times New Roman" w:cs="Times New Roman" w:eastAsia="Times New Roman" w:hAnsi="Times New Roman"/>
          <w:sz w:val="18"/>
          <w:szCs w:val="18"/>
          <w:color w:val="auto"/>
        </w:rPr>
      </w:pPr>
    </w:p>
    <w:p>
      <w:pPr>
        <w:ind w:left="561"/>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provided, however that payment of the aggregate Exercise Price, other than in the instance of a cashless exercise) is received by the Company by such date.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99" w:lineRule="exact"/>
        <w:rPr>
          <w:rFonts w:ascii="Times New Roman" w:cs="Times New Roman" w:eastAsia="Times New Roman" w:hAnsi="Times New Roman"/>
          <w:sz w:val="18"/>
          <w:szCs w:val="18"/>
          <w:color w:val="auto"/>
        </w:rPr>
      </w:pPr>
    </w:p>
    <w:p>
      <w:pPr>
        <w:ind w:left="561" w:firstLine="391"/>
        <w:spacing w:after="0" w:line="261" w:lineRule="auto"/>
        <w:tabs>
          <w:tab w:leader="none" w:pos="113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12" w:lineRule="exact"/>
        <w:rPr>
          <w:sz w:val="20"/>
          <w:szCs w:val="20"/>
          <w:color w:val="auto"/>
        </w:rPr>
      </w:pPr>
    </w:p>
    <w:p>
      <w:pPr>
        <w:ind w:left="460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41"/>
          </w:cols>
          <w:pgMar w:left="1299" w:top="270" w:right="459" w:bottom="1440" w:gutter="0" w:footer="0" w:header="0"/>
        </w:sectPr>
      </w:pPr>
    </w:p>
    <w:bookmarkStart w:id="19" w:name="page20"/>
    <w:bookmarkEnd w:id="19"/>
    <w:p>
      <w:pPr>
        <w:ind w:left="420" w:firstLine="391"/>
        <w:spacing w:after="0" w:line="255" w:lineRule="auto"/>
        <w:tabs>
          <w:tab w:leader="none" w:pos="10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(subject to receipt of the aggregate exercise price for the applicable exercise (other than in the case of a cashless exercise)), then the Holder will have the right to rescind such exercise by delivering written notice to the Company at any time prior to the Company delivering such Warrant Shares; provided, however, that the Holder shall be required to return any Warrant Shares subject to any such rescinded exercise notice concurrently with the return to the Holder of the aggregate Exercise Price paid to the Company for such Warrant Shares and the restoration of Holder’s right to acquire such Warrant Shares pursuant to this Warrant (including issuance of a replacement warrant certificate evidencing such restored right).</w:t>
      </w:r>
    </w:p>
    <w:p>
      <w:pPr>
        <w:spacing w:after="0" w:line="80" w:lineRule="exact"/>
        <w:rPr>
          <w:rFonts w:ascii="Times New Roman" w:cs="Times New Roman" w:eastAsia="Times New Roman" w:hAnsi="Times New Roman"/>
          <w:sz w:val="18"/>
          <w:szCs w:val="18"/>
          <w:color w:val="auto"/>
        </w:rPr>
      </w:pPr>
    </w:p>
    <w:p>
      <w:pPr>
        <w:ind w:left="420" w:firstLine="391"/>
        <w:spacing w:after="0" w:line="252" w:lineRule="auto"/>
        <w:tabs>
          <w:tab w:leader="none" w:pos="102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did not timely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00"/>
          </w:cols>
          <w:pgMar w:left="1440" w:top="270" w:right="459" w:bottom="1440" w:gutter="0" w:footer="0" w:header="0"/>
        </w:sectPr>
      </w:pPr>
    </w:p>
    <w:bookmarkStart w:id="20" w:name="page21"/>
    <w:bookmarkEnd w:id="20"/>
    <w:p>
      <w:pPr>
        <w:ind w:left="980" w:firstLine="38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980" w:right="20" w:firstLine="391"/>
        <w:spacing w:after="0" w:line="254" w:lineRule="auto"/>
        <w:tabs>
          <w:tab w:leader="none" w:pos="15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80" w:lineRule="exact"/>
        <w:rPr>
          <w:rFonts w:ascii="Times New Roman" w:cs="Times New Roman" w:eastAsia="Times New Roman" w:hAnsi="Times New Roman"/>
          <w:sz w:val="18"/>
          <w:szCs w:val="18"/>
          <w:color w:val="auto"/>
        </w:rPr>
      </w:pPr>
    </w:p>
    <w:p>
      <w:pPr>
        <w:ind w:left="980" w:right="200" w:firstLine="391"/>
        <w:spacing w:after="0" w:line="282" w:lineRule="auto"/>
        <w:tabs>
          <w:tab w:leader="none" w:pos="16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4"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and any other Persons whose beneficial ownership of the shares of Common Stock would or could be aggregated with the Holder’s for the purposes of Section 13(d) of the Exchange Act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21" w:name="page22"/>
    <w:bookmarkEnd w:id="21"/>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(including any determination as to group status pursuant to the next sentence) and shall have no liability for exercises of this Warrant that are not in compliance with the Beneficial Ownership Limitation (other than to the extent that the information on the number of outstanding shares of Common Stock is provided by the Company, either directly or through one or more public filings relied upon by the Holder. 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w:t>
      </w:r>
    </w:p>
    <w:p>
      <w:pPr>
        <w:spacing w:after="0" w:line="1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22" w:name="page23"/>
    <w:bookmarkEnd w:id="22"/>
    <w:p>
      <w:pPr>
        <w:ind w:right="20"/>
        <w:spacing w:after="0" w:line="23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provided that the Exercise Price per share shall in any case be no lower than the par value of the Common Stock.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81" w:lineRule="exact"/>
        <w:rPr>
          <w:rFonts w:ascii="Times New Roman" w:cs="Times New Roman" w:eastAsia="Times New Roman" w:hAnsi="Times New Roman"/>
          <w:sz w:val="18"/>
          <w:szCs w:val="18"/>
          <w:color w:val="auto"/>
        </w:rPr>
      </w:pPr>
    </w:p>
    <w:p>
      <w:pPr>
        <w:ind w:left="620" w:hanging="201"/>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20" w:firstLine="419"/>
        <w:spacing w:after="0" w:line="254" w:lineRule="auto"/>
        <w:tabs>
          <w:tab w:leader="none" w:pos="6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23" w:name="page24"/>
    <w:bookmarkEnd w:id="2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72" w:lineRule="exact"/>
        <w:rPr>
          <w:sz w:val="20"/>
          <w:szCs w:val="20"/>
          <w:color w:val="auto"/>
        </w:rPr>
      </w:pPr>
    </w:p>
    <w:p>
      <w:pPr>
        <w:ind w:firstLine="419"/>
        <w:spacing w:after="0" w:line="252" w:lineRule="auto"/>
        <w:tabs>
          <w:tab w:leader="none" w:pos="6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89" w:lineRule="exact"/>
        <w:rPr>
          <w:rFonts w:ascii="Times New Roman" w:cs="Times New Roman" w:eastAsia="Times New Roman" w:hAnsi="Times New Roman"/>
          <w:sz w:val="18"/>
          <w:szCs w:val="18"/>
          <w:color w:val="auto"/>
        </w:rPr>
      </w:pPr>
    </w:p>
    <w:p>
      <w:pPr>
        <w:ind w:firstLine="419"/>
        <w:spacing w:after="0" w:line="254" w:lineRule="auto"/>
        <w:tabs>
          <w:tab w:leader="none" w:pos="6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(other than for the sole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or 50% or more of the voting power of the outstanding common and preferred stock of the Company, (iv) the Company, directly or indirectly, in one or more related transactions effects any reclassification, reorganization</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20"/>
          </w:cols>
          <w:pgMar w:left="880" w:top="270"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recapitalization of the Common Stock or any compulsory share exchange pursuant to which the Common Stock is effectively converted into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exchanged for other securities, cash or property, or (v) the Company, directly or indirectly, in one or more related transactions consummates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or share purchase agreement or other business combination (including, without limitation, a reorganization, recapitalization, spin-off, merger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scheme of arrangement) with another Person or group of Persons whereby such other Person or group acquires 50% or more of the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or 50% or more of the voting power of the outstanding common and preferred stock of the Company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would have been issuable upon such exercise immediately prior to the occurrence of such Fundamental Transaction, at the option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(without regard to any limitation in Section 2(e) on the exercise of this Warrant), the number of shares of Common Stock of the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as a result of such Fundamental Transaction by a holder of the number of shares of Common Stock for which this Warrant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immediately prior to such Fundamental Transaction (without regard to any limitation in Section 2(e) on the exercise of this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any such exercise, the determination of the Exercise Price shall be appropriately adjusted to apply to such Alternate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amount of Alternate Consideration issuable in respect of one share of Common Stock in such Fundamental Transaction,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apportion the Exercise Price among the Alternate Consideration in a reasonable manner reflecting the relative value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different components of the Alternate Consideration. If holders of Common Stock are given any choice as to the securities, cash or property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in a Fundamental Transaction, then the Holder shall be given the same choice as to the Alternate Consideration it receives upon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this Warrant following such Fundamental Transaction. Notwithstanding anything to the contrary, in the event of a Fundamental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the Company or any Successor Entity (as defined below) shall, at the Holder’s option, exercisable at any time concurrently with,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30 days after, the consummation of the Fundamental Transaction (or, if later, the date of the public announcement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Fundamental Transaction), purchase this Warrant from the Holder by paying to the Holder an amount of cash equal to the Black Scholes Value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defined below) of the remaining unexercised portion of this Warrant on the date of the consummation of such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Fundamental Transaction is not within the Company’s control, including not approved by the Company’s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shall only be entitled to receive from the Company or any Successor Entity as of the date of the consummation of such Fundamental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the same type or form of consideration (and in the same proportion), valued at the Black Scholes Value of the unexercised portion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that is being offered and paid to the holders of Common Stock of the Company in connection with the Fundamental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that consideration be in the form of cash, stock or any combination thereof, or whether the holders of Common Stock are given the choice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of the Company are not offered or paid any consideration in such</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25" w:name="page26"/>
    <w:bookmarkEnd w:id="25"/>
    <w:p>
      <w:pPr>
        <w:ind w:left="4" w:right="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 day volatility, (2) the 100 day volatility or</w:t>
      </w:r>
    </w:p>
    <w:p>
      <w:pPr>
        <w:spacing w:after="0" w:line="5" w:lineRule="exact"/>
        <w:rPr>
          <w:sz w:val="20"/>
          <w:szCs w:val="20"/>
          <w:color w:val="auto"/>
        </w:rPr>
      </w:pPr>
    </w:p>
    <w:p>
      <w:pPr>
        <w:ind w:left="4" w:hanging="4"/>
        <w:spacing w:after="0" w:line="250" w:lineRule="auto"/>
        <w:tabs>
          <w:tab w:leader="none" w:pos="2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365 day volatility, each of clauses (1)-(3) as obtained from the HVT function on Bloomberg (determined utilizing a 365-day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3(e),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4"/>
          </w:cols>
          <w:pgMar w:left="876" w:top="270" w:right="459" w:bottom="1440" w:gutter="0" w:footer="0" w:header="0"/>
        </w:sectPr>
      </w:pPr>
    </w:p>
    <w:bookmarkStart w:id="26" w:name="page27"/>
    <w:bookmarkEnd w:id="2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 For the further avoidance of doubt, the Holder shall not be entitled to receive more than one of (i) the consideration receivable as a result of such Fundamental Transaction by a holder of the number of shares of Common Stock for which this Warrant is exercisable immediately prior to such Fundamental Transaction, or (ii) the assumption by the Successor Entity of all the obligations of the Company under this Warrant and the option to receive a security of the Successor Entity evidenced by a written instrument substantially similar in form and substance to this Warrant.</w:t>
      </w:r>
    </w:p>
    <w:p>
      <w:pPr>
        <w:spacing w:after="0" w:line="82" w:lineRule="exact"/>
        <w:rPr>
          <w:sz w:val="20"/>
          <w:szCs w:val="20"/>
          <w:color w:val="auto"/>
        </w:rPr>
      </w:pPr>
    </w:p>
    <w:p>
      <w:pPr>
        <w:ind w:right="60" w:firstLine="419"/>
        <w:spacing w:after="0" w:line="266" w:lineRule="auto"/>
        <w:tabs>
          <w:tab w:leader="none" w:pos="5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620" w:hanging="201"/>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0" w:right="460" w:firstLine="391"/>
        <w:spacing w:after="0" w:line="289" w:lineRule="auto"/>
        <w:tabs>
          <w:tab w:leader="none" w:pos="1503"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49" w:lineRule="exact"/>
        <w:rPr>
          <w:rFonts w:ascii="Times New Roman" w:cs="Times New Roman" w:eastAsia="Times New Roman" w:hAnsi="Times New Roman"/>
          <w:sz w:val="17"/>
          <w:szCs w:val="17"/>
          <w:color w:val="auto"/>
        </w:rPr>
      </w:pPr>
    </w:p>
    <w:p>
      <w:pPr>
        <w:ind w:left="980" w:firstLine="391"/>
        <w:spacing w:after="0" w:line="256" w:lineRule="auto"/>
        <w:tabs>
          <w:tab w:leader="none" w:pos="155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while the Warrant is outstanding,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27" w:name="page28"/>
    <w:bookmarkEnd w:id="27"/>
    <w:p>
      <w:pPr>
        <w:ind w:left="9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compulsory share exchange whereby the Common Stock is converted into other securities, cash or property, or any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53" w:lineRule="auto"/>
        <w:tabs>
          <w:tab w:leader="none" w:pos="6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28" w:name="page29"/>
    <w:bookmarkEnd w:id="28"/>
    <w:p>
      <w:pPr>
        <w:ind w:right="20" w:firstLine="419"/>
        <w:spacing w:after="0" w:line="256" w:lineRule="auto"/>
        <w:tabs>
          <w:tab w:leader="none" w:pos="6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firstLine="419"/>
        <w:spacing w:after="0" w:line="261" w:lineRule="auto"/>
        <w:tabs>
          <w:tab w:leader="none" w:pos="6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58" w:lineRule="auto"/>
        <w:tabs>
          <w:tab w:leader="none" w:pos="6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75" w:lineRule="exact"/>
        <w:rPr>
          <w:rFonts w:ascii="Times New Roman" w:cs="Times New Roman" w:eastAsia="Times New Roman" w:hAnsi="Times New Roman"/>
          <w:sz w:val="18"/>
          <w:szCs w:val="18"/>
          <w:color w:val="auto"/>
        </w:rPr>
      </w:pPr>
    </w:p>
    <w:p>
      <w:pPr>
        <w:ind w:right="160" w:firstLine="419"/>
        <w:spacing w:after="0" w:line="258" w:lineRule="auto"/>
        <w:tabs>
          <w:tab w:leader="none" w:pos="6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220" w:firstLine="419"/>
        <w:spacing w:after="0" w:line="312" w:lineRule="auto"/>
        <w:tabs>
          <w:tab w:leader="none" w:pos="60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7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29" w:name="page30"/>
    <w:bookmarkEnd w:id="29"/>
    <w:p>
      <w:pPr>
        <w:ind w:left="620" w:hanging="201"/>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60" w:firstLine="902"/>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6" w:lineRule="exact"/>
        <w:rPr>
          <w:sz w:val="20"/>
          <w:szCs w:val="20"/>
          <w:color w:val="auto"/>
        </w:rPr>
      </w:pPr>
    </w:p>
    <w:p>
      <w:pPr>
        <w:ind w:left="540" w:right="180" w:firstLine="902"/>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6" w:lineRule="exact"/>
        <w:rPr>
          <w:sz w:val="20"/>
          <w:szCs w:val="20"/>
          <w:color w:val="auto"/>
        </w:rPr>
      </w:pPr>
    </w:p>
    <w:p>
      <w:pPr>
        <w:ind w:left="540" w:firstLine="902"/>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right="340" w:firstLine="419"/>
        <w:spacing w:after="0" w:line="282" w:lineRule="auto"/>
        <w:tabs>
          <w:tab w:leader="none" w:pos="6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30" w:name="page31"/>
    <w:bookmarkEnd w:id="30"/>
    <w:p>
      <w:pPr>
        <w:ind w:right="480" w:firstLine="419"/>
        <w:spacing w:after="0" w:line="282" w:lineRule="auto"/>
        <w:tabs>
          <w:tab w:leader="none" w:pos="5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right="20" w:firstLine="419"/>
        <w:spacing w:after="0" w:line="255" w:lineRule="auto"/>
        <w:tabs>
          <w:tab w:leader="none" w:pos="6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80" w:lineRule="exact"/>
        <w:rPr>
          <w:rFonts w:ascii="Times New Roman" w:cs="Times New Roman" w:eastAsia="Times New Roman" w:hAnsi="Times New Roman"/>
          <w:sz w:val="18"/>
          <w:szCs w:val="18"/>
          <w:color w:val="auto"/>
        </w:rPr>
      </w:pPr>
    </w:p>
    <w:p>
      <w:pPr>
        <w:ind w:right="380" w:firstLine="419"/>
        <w:spacing w:after="0" w:line="282" w:lineRule="auto"/>
        <w:tabs>
          <w:tab w:leader="none" w:pos="6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5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5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firstLine="419"/>
        <w:spacing w:after="0" w:line="261" w:lineRule="auto"/>
        <w:tabs>
          <w:tab w:leader="none" w:pos="6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right="40" w:firstLine="419"/>
        <w:spacing w:after="0" w:line="282" w:lineRule="auto"/>
        <w:tabs>
          <w:tab w:leader="none" w:pos="5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 (or the beneficial owner of this Warrant).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31" w:name="page32"/>
    <w:bookmarkEnd w:id="31"/>
    <w:p>
      <w:pPr>
        <w:ind w:firstLine="419"/>
        <w:spacing w:after="0" w:line="266" w:lineRule="auto"/>
        <w:tabs>
          <w:tab w:leader="none" w:pos="6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20" w:firstLine="419"/>
        <w:spacing w:after="0" w:line="282" w:lineRule="auto"/>
        <w:tabs>
          <w:tab w:leader="none" w:pos="6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880" w:top="270" w:right="479" w:bottom="1440" w:gutter="0" w:footer="0" w:header="0"/>
        </w:sectPr>
      </w:pPr>
    </w:p>
    <w:bookmarkStart w:id="32" w:name="page33"/>
    <w:bookmarkEnd w:id="32"/>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HYPERFINE,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33" w:name="page34"/>
    <w:bookmarkEnd w:id="3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HYPERFINE, INC.</w:t>
      </w:r>
    </w:p>
    <w:p>
      <w:pPr>
        <w:spacing w:after="0" w:line="117" w:lineRule="exact"/>
        <w:rPr>
          <w:sz w:val="20"/>
          <w:szCs w:val="20"/>
          <w:color w:val="auto"/>
        </w:rPr>
      </w:pPr>
    </w:p>
    <w:p>
      <w:pPr>
        <w:ind w:firstLine="987"/>
        <w:spacing w:after="0" w:line="282"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117" w:lineRule="exact"/>
        <w:rPr>
          <w:sz w:val="20"/>
          <w:szCs w:val="20"/>
          <w:color w:val="auto"/>
        </w:rPr>
      </w:pPr>
    </w:p>
    <w:p>
      <w:pPr>
        <w:ind w:left="1420" w:right="1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Please issue said Warrant Shares in the name of the undersigned or in such other name as is specified below:</w:t>
      </w:r>
    </w:p>
    <w:p>
      <w:pPr>
        <w:spacing w:after="0" w:line="1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-7620</wp:posOffset>
            </wp:positionV>
            <wp:extent cx="17138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-7620</wp:posOffset>
            </wp:positionV>
            <wp:extent cx="1713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3865" cy="8890"/>
                    </a:xfrm>
                    <a:prstGeom prst="rect">
                      <a:avLst/>
                    </a:prstGeom>
                    <a:noFill/>
                  </pic:spPr>
                </pic:pic>
              </a:graphicData>
            </a:graphic>
          </wp:anchor>
        </w:drawing>
      </w:r>
    </w:p>
    <w:p>
      <w:pPr>
        <w:spacing w:after="0" w:line="9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-7620</wp:posOffset>
            </wp:positionV>
            <wp:extent cx="17138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9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-7620</wp:posOffset>
            </wp:positionV>
            <wp:extent cx="17138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______________________________________________________________________________________________________________</w:t>
      </w:r>
    </w:p>
    <w:p>
      <w:pPr>
        <w:sectPr>
          <w:pgSz w:w="11900" w:h="16838" w:orient="portrait"/>
          <w:cols w:equalWidth="0" w:num="1">
            <w:col w:w="10700"/>
          </w:cols>
          <w:pgMar w:left="440" w:top="266" w:right="7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ASSIGNMENT FORM</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purchase shares.)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52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r>
      <w:tr>
        <w:trPr>
          <w:trHeight w:val="331"/>
        </w:trPr>
        <w:tc>
          <w:tcPr>
            <w:tcW w:w="4420" w:type="dxa"/>
            <w:vAlign w:val="bottom"/>
          </w:tcPr>
          <w:p>
            <w:pPr>
              <w:spacing w:after="0"/>
              <w:rPr>
                <w:sz w:val="24"/>
                <w:szCs w:val="24"/>
                <w:color w:val="auto"/>
              </w:rPr>
            </w:pPr>
          </w:p>
        </w:tc>
        <w:tc>
          <w:tcPr>
            <w:tcW w:w="66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(Please Print)</w:t>
            </w:r>
          </w:p>
        </w:tc>
      </w:tr>
      <w:tr>
        <w:trPr>
          <w:trHeight w:val="32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xml:space="preserve">    </w:t>
            </w:r>
          </w:p>
        </w:tc>
        <w:tc>
          <w:tcPr>
            <w:tcW w:w="5080" w:type="dxa"/>
            <w:vAlign w:val="bottom"/>
            <w:tcBorders>
              <w:bottom w:val="single" w:sz="8" w:color="auto"/>
            </w:tcBorders>
          </w:tcPr>
          <w:p>
            <w:pPr>
              <w:spacing w:after="0"/>
              <w:rPr>
                <w:sz w:val="24"/>
                <w:szCs w:val="24"/>
                <w:color w:val="auto"/>
              </w:rPr>
            </w:pPr>
          </w:p>
        </w:tc>
      </w:tr>
      <w:tr>
        <w:trPr>
          <w:trHeight w:val="331"/>
        </w:trPr>
        <w:tc>
          <w:tcPr>
            <w:tcW w:w="4420" w:type="dxa"/>
            <w:vAlign w:val="bottom"/>
          </w:tcPr>
          <w:p>
            <w:pPr>
              <w:spacing w:after="0"/>
              <w:rPr>
                <w:sz w:val="24"/>
                <w:szCs w:val="24"/>
                <w:color w:val="auto"/>
              </w:rPr>
            </w:pPr>
          </w:p>
        </w:tc>
        <w:tc>
          <w:tcPr>
            <w:tcW w:w="66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(Please Print)</w:t>
            </w:r>
          </w:p>
        </w:tc>
      </w:tr>
      <w:tr>
        <w:trPr>
          <w:trHeight w:val="32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152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331"/>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152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331"/>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152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2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 _____________________</w:t>
            </w:r>
          </w:p>
        </w:tc>
        <w:tc>
          <w:tcPr>
            <w:tcW w:w="152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2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 _______________________</w:t>
            </w:r>
          </w:p>
        </w:tc>
        <w:tc>
          <w:tcPr>
            <w:tcW w:w="152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173990</wp:posOffset>
            </wp:positionV>
            <wp:extent cx="1054100" cy="1054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5410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617 542 6000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Hyperfine,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351 New Whitfield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Guilford, Connecticut 06437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We have acted as legal counsel to Hyperfine,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of a Prospectus Supplement, dated February 11, 2025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to a Registration Statement (File No. 333-275449) on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the Company with the Commission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Prospectus Supplement relates to the sale of (i) an aggregate of 4,511,278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Class A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(ii)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up to 4,511,278 shares of Common Stock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pursuant to the Securities Purchase Agreement, dated February 11, 2025, between the Company and the purchasers named therein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The form of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8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In connection with this opinion, we have examined the Company’s Certificate of Incorporation, as amended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Amended and Restated Bylaws, each as currently in effect, the Registration Statement and the exhibits thereto, the Prospectus Supplement, the Purchase Agreement and the Warrants and such other records of the corporate proceedings of the Company and certificates of the Company’s officers as we have deemed relevant.</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 With respect to our opinion as to the Warrant Shares, we have assumed that, at the time of issuance and sale, a sufficient number of shares of Common Stock are authorized and available for issuance under the Company’s Certificate of Incorporation as then in effect and that the exercise price per share of the Warrants is an amount that is not less than the par value of the Common Stock. We have relied, without independent verification, on certificates of public officials and, as to matters of fact material to the opinions set forth below, on certificates of officers of the Company.</w:t>
      </w:r>
    </w:p>
    <w:p>
      <w:pPr>
        <w:sectPr>
          <w:pgSz w:w="11900" w:h="16838" w:orient="portrait"/>
          <w:cols w:equalWidth="0" w:num="1">
            <w:col w:w="11020"/>
          </w:cols>
          <w:pgMar w:left="440" w:top="117"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6435090</wp:posOffset>
            </wp:positionH>
            <wp:positionV relativeFrom="paragraph">
              <wp:posOffset>-107950</wp:posOffset>
            </wp:positionV>
            <wp:extent cx="557530" cy="557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530" cy="55753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47"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and we express no opinion with respect to the laws of any other jurisdiction. No opinion is expressed herein with respect to the qualification of the Shares or Warrants under the securities or blue sky laws of any state or any foreign jurisdiction.</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Based upon the foregoing, we are of the opinion that (i) the Shares, when issued and delivered in accordance with the terms of the Purchase Agreement, will be validly issued, fully paid and non-assessable, (ii) the Warrants, if and when paid for in accordance with the terms of the Registration Statement and the Purchase Agreement, will constitute valid and legally binding obligations of the Company, except as may be limited by bankruptcy, insolvency or other similar laws affecting the rights and remedies of creditors in general and the general principles of equity and (iii) with respect to Warrant Shares issuable upon exercise of the Warrants when the exercise price is paid in full and the Warrant Shares are issued in accordance with the terms and conditions of the Warrants, will be validly issued, fully paid and non-assessable.</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understand that you wish to file this opinion with the Commission as an exhibit to a Current Report on Form 8-K for incorporation by reference into the Registration Statement in accordance with the requirements of Item 601(b)(5) of Regulation S-K promulgated under the Securities Act and to reference the firm’s name under the caption “Legal Matters” in the Prospectus Supplement,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ectPr>
          <w:pgSz w:w="11900" w:h="16838" w:orient="portrait"/>
          <w:cols w:equalWidth="0" w:num="1">
            <w:col w:w="11000"/>
          </w:cols>
          <w:pgMar w:left="440" w:top="266" w:right="4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 11, 2025, between Hyperfine,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117"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left="440" w:right="7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Purchased Securities pursuant to Section 2.1.</w:t>
      </w:r>
    </w:p>
    <w:p>
      <w:pPr>
        <w:spacing w:after="0" w:line="117" w:lineRule="exact"/>
        <w:rPr>
          <w:sz w:val="20"/>
          <w:szCs w:val="20"/>
          <w:color w:val="auto"/>
        </w:rPr>
      </w:pPr>
    </w:p>
    <w:p>
      <w:pPr>
        <w:ind w:left="440" w:right="24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respective Purchasers’ obligations to pay the Subscription Amount and (ii) the Company’s obligations to deliver the Purchased Securities, in each case, have been satisfied or waived, but in no event later than the first (1st) Trading Day following the date hereof .</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8" w:name="page39"/>
    <w:bookmarkEnd w:id="38"/>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shares of Company’s Class A Common Stock, par value $0.0001 per share.</w:t>
      </w:r>
    </w:p>
    <w:p>
      <w:pPr>
        <w:spacing w:after="0" w:line="117" w:lineRule="exact"/>
        <w:rPr>
          <w:sz w:val="20"/>
          <w:szCs w:val="20"/>
          <w:color w:val="auto"/>
        </w:rPr>
      </w:pPr>
    </w:p>
    <w:p>
      <w:pPr>
        <w:ind w:right="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or shares of the Company’s Class B common stock, par value $0.0001 per share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including, without limitation, any debt, preferred stock, right, option, warrant or other instrument that is at any time convertible into or exercisable or exchangeable for, or otherwise entitles the holder thereof to receive, Common Stock or Class B Common Stock.</w:t>
      </w:r>
    </w:p>
    <w:p>
      <w:pPr>
        <w:spacing w:after="0" w:line="72"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Warrants</w:t>
      </w:r>
      <w:r>
        <w:rPr>
          <w:rFonts w:ascii="Times New Roman" w:cs="Times New Roman" w:eastAsia="Times New Roman" w:hAnsi="Times New Roman"/>
          <w:sz w:val="18"/>
          <w:szCs w:val="18"/>
          <w:color w:val="auto"/>
        </w:rPr>
        <w:t xml:space="preserve">” means, collectively, the Common Stock purchase warrants delivered to the Purchasers at the Closing in accordance with Section 2.2(a) hereof, which Warrants shall be exercisable immediately and have a term of exercise equal to 5 years,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 Shares</w:t>
      </w:r>
      <w:r>
        <w:rPr>
          <w:rFonts w:ascii="Times New Roman" w:cs="Times New Roman" w:eastAsia="Times New Roman" w:hAnsi="Times New Roman"/>
          <w:sz w:val="18"/>
          <w:szCs w:val="18"/>
          <w:color w:val="auto"/>
        </w:rPr>
        <w:t>” means the shares of Common Stock issuable upon exercise of the Common Warrants.</w:t>
      </w:r>
    </w:p>
    <w:p>
      <w:pPr>
        <w:spacing w:after="0" w:line="117" w:lineRule="exact"/>
        <w:rPr>
          <w:sz w:val="20"/>
          <w:szCs w:val="20"/>
          <w:color w:val="auto"/>
        </w:rPr>
      </w:pPr>
    </w:p>
    <w:p>
      <w:pPr>
        <w:ind w:right="3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Mintz, Levin, Cohn, Ferris, Glovsky and Popeo, P.C., with offices located at One Financial Center, Boston, Massachusetts 02111.</w:t>
      </w:r>
    </w:p>
    <w:p>
      <w:pPr>
        <w:spacing w:after="0" w:line="54"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right="6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Common Stock or options or other equity awards to employees, officers, consultants or directors of the Company pursuant to any share or option plan duly adopted for such purpose, by a majority of the non-employee members of the Board of Directors, (b) securities issued upon the exercise or exchange of or conversion of any Securities issued hereunder and/or other securities exercisable or exchangeable for or convertible into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share splits or combinations) or to extend the term of such securities, (c) securities issued pursuant to acquisitions or strategic transactions approved by a majority of disinterested</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20"/>
          </w:cols>
          <w:pgMar w:left="880" w:top="270" w:right="499" w:bottom="1440" w:gutter="0" w:footer="0" w:header="0"/>
        </w:sectPr>
      </w:pPr>
    </w:p>
    <w:bookmarkStart w:id="39" w:name="page40"/>
    <w:bookmarkEnd w:id="39"/>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of the Company, provided that such securities are issued as “restricted securities” (as defined in Rule 144) and carry no registration rights that require the filing of any registration statement in connection therewith during the prohibition period in Section 4.11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(d) the issuance of Common Stock or Common Stock Equivalents (other than in the form of convertible or exchangeable indebtedness) in connection with the issuance of non-convertible, non-exercisable debt or the incurrence of non-convertible, non-exercisable indebtedness by the Company, provided that (i) such issuance is to the holders or lenders of such debt and that the aggregate number of shares of Common Stock or any securities convertible into or exercisable or exchangeable for Common Stock that the Company may issue or agree to issue pursuant to this clause (d) shall not exceed 5% of the total outstanding shares of Common Stock immediately prior to the issuance of the Common Stock or Common Stock Equivalents pursuant hereto,</w:t>
      </w:r>
    </w:p>
    <w:p>
      <w:pPr>
        <w:spacing w:after="0" w:line="2" w:lineRule="exact"/>
        <w:rPr>
          <w:sz w:val="20"/>
          <w:szCs w:val="20"/>
          <w:color w:val="auto"/>
        </w:rPr>
      </w:pPr>
    </w:p>
    <w:p>
      <w:pPr>
        <w:ind w:left="4" w:right="280" w:hanging="4"/>
        <w:spacing w:after="0" w:line="260" w:lineRule="auto"/>
        <w:tabs>
          <w:tab w:leader="none" w:pos="2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securities are issued as “restricted securities” (as defined in Rule 144) and carry no registration rights that require the filing of any registration statement in connection therewith during the prohibition period in Section 4.11 herein.</w:t>
      </w:r>
    </w:p>
    <w:p>
      <w:pPr>
        <w:spacing w:after="0" w:line="7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117" w:lineRule="exact"/>
        <w:rPr>
          <w:sz w:val="20"/>
          <w:szCs w:val="20"/>
          <w:color w:val="auto"/>
        </w:rPr>
      </w:pPr>
    </w:p>
    <w:p>
      <w:pPr>
        <w:ind w:left="4" w:right="3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the Lock-Up Agreements, dated as of the date hereof, by and among the Placement Agent and each of the Company’s directors and executive officers,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117" w:lineRule="exact"/>
        <w:rPr>
          <w:sz w:val="20"/>
          <w:szCs w:val="20"/>
          <w:color w:val="auto"/>
        </w:rPr>
      </w:pPr>
    </w:p>
    <w:p>
      <w:pPr>
        <w:ind w:left="4" w:right="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$1.33, subject to adjustment for reverse and forward stock splits, stock dividends, stock combinations and other similar transactions of the Common Stock that occur after the date of this Agreement, provided that the purchase price per Pre-Funded Warrant shall be the Per Share Purchase Price minus $0.0001.</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4"/>
          </w:cols>
          <w:pgMar w:left="876" w:top="270" w:right="459" w:bottom="1440" w:gutter="0" w:footer="0" w:header="0"/>
        </w:sectPr>
      </w:pPr>
    </w:p>
    <w:bookmarkStart w:id="40" w:name="page41"/>
    <w:bookmarkEnd w:id="40"/>
    <w:p>
      <w:pPr>
        <w:ind w:right="18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Lake Street Capital Markets, LLC.</w:t>
      </w:r>
    </w:p>
    <w:p>
      <w:pPr>
        <w:spacing w:after="0" w:line="117" w:lineRule="exact"/>
        <w:rPr>
          <w:sz w:val="20"/>
          <w:szCs w:val="20"/>
          <w:color w:val="auto"/>
        </w:rPr>
      </w:pPr>
    </w:p>
    <w:p>
      <w:pPr>
        <w:ind w:right="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117" w:lineRule="exact"/>
        <w:rPr>
          <w:sz w:val="20"/>
          <w:szCs w:val="20"/>
          <w:color w:val="auto"/>
        </w:rPr>
      </w:pPr>
    </w:p>
    <w:p>
      <w:pPr>
        <w:ind w:right="2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117" w:lineRule="exact"/>
        <w:rPr>
          <w:sz w:val="20"/>
          <w:szCs w:val="20"/>
          <w:color w:val="auto"/>
        </w:rPr>
      </w:pPr>
    </w:p>
    <w:p>
      <w:pPr>
        <w:ind w:right="2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Securities</w:t>
      </w:r>
      <w:r>
        <w:rPr>
          <w:rFonts w:ascii="Times New Roman" w:cs="Times New Roman" w:eastAsia="Times New Roman" w:hAnsi="Times New Roman"/>
          <w:sz w:val="18"/>
          <w:szCs w:val="18"/>
          <w:color w:val="auto"/>
        </w:rPr>
        <w:t>” means, collectively, the Shares and Warrants.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117"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333-275449 which registers the sale of the Shares, the Warrants and the Warrant Shares to the Purchasers, and includes any Rule 462(b) Registration Statement.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117"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right="1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means any registration statement prepared by the Company registering additional Securities, which was filed with the Commission on or prior to the date hereof and became automatically effective pursuant to Rule 462(b) promulgated by the Commission pursuant to the Securities Act.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1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00"/>
          </w:cols>
          <w:pgMar w:left="880" w:top="270" w:right="519" w:bottom="1440" w:gutter="0" w:footer="0" w:header="0"/>
        </w:sectPr>
      </w:pPr>
    </w:p>
    <w:bookmarkStart w:id="41" w:name="page42"/>
    <w:bookmarkEnd w:id="4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117"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54" w:lineRule="exact"/>
        <w:rPr>
          <w:sz w:val="20"/>
          <w:szCs w:val="20"/>
          <w:color w:val="auto"/>
        </w:rPr>
      </w:pPr>
    </w:p>
    <w:p>
      <w:pPr>
        <w:ind w:right="8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w:t>
      </w:r>
    </w:p>
    <w:p>
      <w:pPr>
        <w:spacing w:after="0" w:line="72" w:lineRule="exact"/>
        <w:rPr>
          <w:sz w:val="20"/>
          <w:szCs w:val="20"/>
          <w:color w:val="auto"/>
        </w:rPr>
      </w:pPr>
    </w:p>
    <w:p>
      <w:pPr>
        <w:ind w:right="1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Sullivan</w:t>
      </w:r>
      <w:r>
        <w:rPr>
          <w:rFonts w:ascii="Times New Roman" w:cs="Times New Roman" w:eastAsia="Times New Roman" w:hAnsi="Times New Roman"/>
          <w:sz w:val="18"/>
          <w:szCs w:val="18"/>
          <w:color w:val="auto"/>
        </w:rPr>
        <w:t>” means Sullivan &amp; Worcester LLP with offices located at 1633 Broadway, New York, New York 10019.</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117" w:lineRule="exact"/>
        <w:rPr>
          <w:sz w:val="20"/>
          <w:szCs w:val="20"/>
          <w:color w:val="auto"/>
        </w:rPr>
      </w:pPr>
    </w:p>
    <w:p>
      <w:pPr>
        <w:jc w:val="both"/>
        <w:ind w:right="10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Pink Open Market, OTCQB or the OTCQX (or any successors to any of the foregoing).</w:t>
      </w:r>
    </w:p>
    <w:p>
      <w:pPr>
        <w:spacing w:after="0" w:line="68" w:lineRule="exact"/>
        <w:rPr>
          <w:sz w:val="20"/>
          <w:szCs w:val="20"/>
          <w:color w:val="auto"/>
        </w:rPr>
      </w:pPr>
    </w:p>
    <w:p>
      <w:pPr>
        <w:jc w:val="both"/>
        <w:ind w:right="200" w:firstLine="423"/>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Documents</w:t>
      </w:r>
      <w:r>
        <w:rPr>
          <w:rFonts w:ascii="Times New Roman" w:cs="Times New Roman" w:eastAsia="Times New Roman" w:hAnsi="Times New Roman"/>
          <w:sz w:val="17"/>
          <w:szCs w:val="17"/>
          <w:color w:val="auto"/>
        </w:rPr>
        <w:t>” means this Agreement, the Lock-Up Agreements, the Pre-Funded Warrants, the Common Warrants, all exhibits and schedules thereto and hereto and any other documents or agreements executed in connection with the transactions contemplated hereunder.</w:t>
      </w:r>
    </w:p>
    <w:p>
      <w:pPr>
        <w:spacing w:after="0" w:line="32" w:lineRule="exact"/>
        <w:rPr>
          <w:sz w:val="20"/>
          <w:szCs w:val="20"/>
          <w:color w:val="auto"/>
        </w:rPr>
      </w:pPr>
    </w:p>
    <w:p>
      <w:pPr>
        <w:jc w:val="both"/>
        <w:ind w:right="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 the current transfer agent of the Company, with a mailing address of 1 State Street, 30th floor, New York, New York 10004 and an email address of cstmail@continentalstock.com, and any successor transfer agent of the Company.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Common Warrants and the Pre-Funded Warrants.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collectively, the Common Warrant Shares and the Pre-Funded Warrant Shares.</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70" w:right="47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the Purchasers, severally and not jointly, agree to purchase, up to an aggregate of $6,000,000 of Shares and Common Warrants;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w:t>
      </w:r>
      <w:r>
        <w:rPr>
          <w:rFonts w:ascii="Times New Roman" w:cs="Times New Roman" w:eastAsia="Times New Roman" w:hAnsi="Times New Roman"/>
          <w:sz w:val="18"/>
          <w:szCs w:val="18"/>
          <w:color w:val="auto"/>
        </w:rPr>
        <w:t>r, that, to the extent that a Purchaser determines, in its sole discretion, that such Purchaser (together with such Purchaser’s Affiliates, and any Person acting as a group together with such Purchaser or any of such Purchaser’s Affiliates and any other Persons whose beneficial ownership of the Ordinary Shares would or could be aggregated with the Purchaser’s for the purposes of Section 13(d) of the Exchange Act) would beneficially own in excess of the Beneficial Ownership Limitation, or as such Purchaser may otherwise choose, in lieu of purchasing Shares such Purchaser may elect to purchase Pre-Funded Warrants in lieu of Shares in such manner to result in the same aggregate purchase price being paid by such Purchaser to the Company. The “</w:t>
      </w:r>
      <w:r>
        <w:rPr>
          <w:rFonts w:ascii="Times New Roman" w:cs="Times New Roman" w:eastAsia="Times New Roman" w:hAnsi="Times New Roman"/>
          <w:sz w:val="18"/>
          <w:szCs w:val="18"/>
          <w:u w:val="single" w:color="auto"/>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shall be 4.99% (or, at the election of the Purchaser at Closing, 9.99%) of the number of shares of the Common Stock outstanding immediately after giving effect to the issuance of the Purchased Securities on the Closing Date. Each Purchaser’s Subscription Amount as set forth on the signature page hereto executed by such Purchaser shall be made available for “Delivery Versus Payment” settlement with the Company or its designee. The Company shall deliver to each Purchaser its respective Shares and the applicable Warrants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Unless otherwise directed by the Placement Agent, settlement of the Purchased Securities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as follows: (a) with respect to the Shares, on the Closing Date, the Placement Agent (or its clearing firm) shall make payment therefor by wire transfer to the Company, and upon receipt of the applicable proceeds by the Company, the Company shall issue the Shares registered in the Purchasers’ names and addresses and released by the Transfer Agent directly to the account(s) at the Placement Agent identified by each Purchaser (and upon receipt of such Shares, the Placement Agent shall promptly electronically deliver such Shares to the applicable Purchaser); (b) with respect to the Pre-Funded Warrants, at least one Business Day prior to the Closing Date, the applicable Purchaser shall make payment therefor by wire transfer to the Company, and upon receipt of the applicable proceeds by the Company, on the Closing Date, the Company shall deliver to each Purchaser its Pre-Funded Warrants; and (c) on the Closing Date, upon receipt by the Company of the proceeds specified in (a) and (b) above, the Company shall deliver to each Purchaser its accompanying Common Warrants.</w:t>
      </w:r>
    </w:p>
    <w:p>
      <w:pPr>
        <w:spacing w:after="0" w:line="20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Purchased Securities to be issued hereunder to such Purchaser at the Closing (collectively, the “</w:t>
      </w:r>
      <w:r>
        <w:rPr>
          <w:rFonts w:ascii="Times New Roman" w:cs="Times New Roman" w:eastAsia="Times New Roman" w:hAnsi="Times New Roman"/>
          <w:sz w:val="18"/>
          <w:szCs w:val="18"/>
          <w:u w:val="single" w:color="auto"/>
          <w:color w:val="auto"/>
        </w:rPr>
        <w:t>Pre-Settlement Securities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Securities at the Closing; provided, that the Company shall not be required to deliver any Pre-Settlement Securities to such Purchaser prior to the Company’s receipt of the purchase price of such Pre-Settlement Securities hereunder; and provided further that the Company hereby acknowledges and agrees that the forgoing shall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43" w:name="page44"/>
    <w:bookmarkEnd w:id="43"/>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constitute a representation or covenant by such Purchaser as to whether or not during the Pre-Settlement Period such Purchaser shall sell any Purchased Securities to any Person and that any such decision to sell any Purchased Securities by such Purchaser shall solely be made at the time such Purchaser elects to effect any such sale, if 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80" w:firstLine="419"/>
        <w:spacing w:after="0" w:line="282" w:lineRule="auto"/>
        <w:tabs>
          <w:tab w:leader="none" w:pos="11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indicated below), the Company shall deliver or cause to be delivered to each Purchaser the following:</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substantially in form and substance reasonably satisfactory to the Placement Agent;</w:t>
      </w:r>
    </w:p>
    <w:p>
      <w:pPr>
        <w:spacing w:after="0" w:line="117" w:lineRule="exact"/>
        <w:rPr>
          <w:rFonts w:ascii="Times New Roman" w:cs="Times New Roman" w:eastAsia="Times New Roman" w:hAnsi="Times New Roman"/>
          <w:sz w:val="18"/>
          <w:szCs w:val="18"/>
          <w:color w:val="auto"/>
        </w:rPr>
      </w:pPr>
    </w:p>
    <w:p>
      <w:pPr>
        <w:ind w:left="980" w:right="800" w:firstLine="408"/>
        <w:spacing w:after="0" w:line="282" w:lineRule="auto"/>
        <w:tabs>
          <w:tab w:leader="none" w:pos="16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Section 2.1, the Company shall have provided each Purchaser with the Company’s wire instructions, on Company letterhead and executed by the Chief Executive Officer or Chief Financial Officer;</w:t>
      </w:r>
    </w:p>
    <w:p>
      <w:pPr>
        <w:spacing w:after="0" w:line="53"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68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Section 2.1, a copy of the irrevocable instructions to the Transfer Agent instructing the Transfer Agent to deliver on an expedited basis via DWAC Shares equal to such Purchaser’s Subscription Amount applicable to the Shares divided by the Per Share Purchase Price, registered in the name of such Purchaser;</w:t>
      </w:r>
    </w:p>
    <w:p>
      <w:pPr>
        <w:spacing w:after="0" w:line="67" w:lineRule="exact"/>
        <w:rPr>
          <w:rFonts w:ascii="Times New Roman" w:cs="Times New Roman" w:eastAsia="Times New Roman" w:hAnsi="Times New Roman"/>
          <w:sz w:val="18"/>
          <w:szCs w:val="18"/>
          <w:color w:val="auto"/>
        </w:rPr>
      </w:pPr>
    </w:p>
    <w:p>
      <w:pPr>
        <w:ind w:left="980" w:firstLine="408"/>
        <w:spacing w:after="0" w:line="282" w:lineRule="auto"/>
        <w:tabs>
          <w:tab w:leader="none" w:pos="16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Common Warrant registered in the name of such Purchaser to purchase up to a number of shares of Common Stock equal to the sum of such Purchaser’s Shares and Pre-Funded Warrants, with an exercise price equal to $1.33, subject to adjustment therein;</w:t>
      </w:r>
    </w:p>
    <w:p>
      <w:pPr>
        <w:spacing w:after="0" w:line="53"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8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Pre-Funded Warrant registered in the name of such Purchaser to purchase up to a number of shares of Common Stock equal to the portion of such Purchaser’s Subscription Amount applicable to Pre-Funded Warrants divided by the Per Share Purchase Price, with an exercise price equal to $0.0001 per share of Common Stock, subject to adjustment therein;</w:t>
      </w:r>
    </w:p>
    <w:p>
      <w:pPr>
        <w:spacing w:after="0" w:line="6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the duly executed Lock-Up Agreements; and</w:t>
      </w:r>
    </w:p>
    <w:p>
      <w:pPr>
        <w:spacing w:after="0" w:line="117" w:lineRule="exact"/>
        <w:rPr>
          <w:rFonts w:ascii="Times New Roman" w:cs="Times New Roman" w:eastAsia="Times New Roman" w:hAnsi="Times New Roman"/>
          <w:sz w:val="18"/>
          <w:szCs w:val="18"/>
          <w:color w:val="auto"/>
        </w:rPr>
      </w:pPr>
    </w:p>
    <w:p>
      <w:pPr>
        <w:ind w:left="1800" w:hanging="412"/>
        <w:spacing w:after="0"/>
        <w:tabs>
          <w:tab w:leader="none" w:pos="18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DVP settlement with the Company or its designee.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419"/>
        <w:spacing w:after="0" w:line="282" w:lineRule="auto"/>
        <w:tabs>
          <w:tab w:leader="none" w:pos="6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with respect to each Purchaser are subject to the following conditions being met:</w:t>
      </w:r>
    </w:p>
    <w:p>
      <w:pPr>
        <w:spacing w:after="0" w:line="53"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p>
    <w:p>
      <w:pPr>
        <w:spacing w:after="0" w:line="27" w:lineRule="exact"/>
        <w:rPr>
          <w:rFonts w:ascii="Times New Roman" w:cs="Times New Roman" w:eastAsia="Times New Roman" w:hAnsi="Times New Roman"/>
          <w:sz w:val="18"/>
          <w:szCs w:val="18"/>
          <w:color w:val="auto"/>
        </w:rPr>
      </w:pPr>
    </w:p>
    <w:p>
      <w:pPr>
        <w:ind w:left="5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in all respects) on the Closing Date of the representations and warranties of such Purchaser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77" w:lineRule="exact"/>
        <w:rPr>
          <w:rFonts w:ascii="Times New Roman" w:cs="Times New Roman" w:eastAsia="Times New Roman" w:hAnsi="Times New Roman"/>
          <w:sz w:val="18"/>
          <w:szCs w:val="18"/>
          <w:color w:val="auto"/>
        </w:rPr>
      </w:pPr>
    </w:p>
    <w:p>
      <w:pPr>
        <w:ind w:left="540" w:right="220" w:firstLine="408"/>
        <w:spacing w:after="0" w:line="282" w:lineRule="auto"/>
        <w:tabs>
          <w:tab w:leader="none" w:pos="120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such Purchaser required to be performed at or prior to the Closing Date shall have been performed; and</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such Purchaser of the items set forth in Section 2.2(b) of this Agreement.</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p>
    <w:p>
      <w:pPr>
        <w:spacing w:after="0" w:line="27" w:lineRule="exact"/>
        <w:rPr>
          <w:rFonts w:ascii="Times New Roman" w:cs="Times New Roman" w:eastAsia="Times New Roman" w:hAnsi="Times New Roman"/>
          <w:sz w:val="18"/>
          <w:szCs w:val="18"/>
          <w:color w:val="auto"/>
        </w:rPr>
      </w:pPr>
    </w:p>
    <w:p>
      <w:pPr>
        <w:ind w:left="54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77" w:lineRule="exact"/>
        <w:rPr>
          <w:rFonts w:ascii="Times New Roman" w:cs="Times New Roman" w:eastAsia="Times New Roman" w:hAnsi="Times New Roman"/>
          <w:sz w:val="18"/>
          <w:szCs w:val="18"/>
          <w:color w:val="auto"/>
        </w:rPr>
      </w:pPr>
    </w:p>
    <w:p>
      <w:pPr>
        <w:ind w:left="540" w:right="340" w:firstLine="408"/>
        <w:spacing w:after="0" w:line="282" w:lineRule="auto"/>
        <w:tabs>
          <w:tab w:leader="none" w:pos="120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11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117" w:lineRule="exact"/>
        <w:rPr>
          <w:rFonts w:ascii="Times New Roman" w:cs="Times New Roman" w:eastAsia="Times New Roman" w:hAnsi="Times New Roman"/>
          <w:sz w:val="18"/>
          <w:szCs w:val="18"/>
          <w:color w:val="auto"/>
        </w:rPr>
      </w:pPr>
    </w:p>
    <w:p>
      <w:pPr>
        <w:ind w:left="540" w:right="60" w:firstLine="408"/>
        <w:spacing w:after="0" w:line="255" w:lineRule="auto"/>
        <w:tabs>
          <w:tab w:leader="none" w:pos="11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Purchased Securities at the Closing.</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80" w:top="270" w:right="439" w:bottom="1440" w:gutter="0" w:footer="0" w:header="0"/>
        </w:sectPr>
      </w:pPr>
    </w:p>
    <w:bookmarkStart w:id="45" w:name="page46"/>
    <w:bookmarkEnd w:id="45"/>
    <w:p>
      <w:pPr>
        <w:ind w:left="980" w:right="200" w:firstLine="408"/>
        <w:spacing w:after="0" w:line="282" w:lineRule="auto"/>
        <w:tabs>
          <w:tab w:leader="none" w:pos="16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filed an additional listing application with the principal Trading Market with respect to the Shares and Warrant Shares.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which SEC Reports shall be deemed a part hereof and shall qualify any representation or otherwise made herein to the extent of the disclosure contained in the corresponding section of the SEC Reports, the Company hereby makes the following representations and warranties to each Purchaser:</w:t>
      </w:r>
    </w:p>
    <w:p>
      <w:pPr>
        <w:spacing w:after="0" w:line="68" w:lineRule="exact"/>
        <w:rPr>
          <w:sz w:val="20"/>
          <w:szCs w:val="20"/>
          <w:color w:val="auto"/>
        </w:rPr>
      </w:pPr>
    </w:p>
    <w:p>
      <w:pPr>
        <w:ind w:left="440" w:right="80" w:firstLine="419"/>
        <w:spacing w:after="0" w:line="261" w:lineRule="auto"/>
        <w:tabs>
          <w:tab w:leader="none" w:pos="11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71"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to the knowledge of the Company, no Proceeding has been instituted in any such jurisdiction revoking, limiting or curtailing or seeking to revoke, limit or curtail such power and authority or qualification.</w:t>
      </w:r>
    </w:p>
    <w:p>
      <w:pPr>
        <w:spacing w:after="0" w:line="81"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6" w:name="page47"/>
    <w:bookmarkEnd w:id="46"/>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0" w:lineRule="exact"/>
        <w:rPr>
          <w:sz w:val="20"/>
          <w:szCs w:val="20"/>
          <w:color w:val="auto"/>
        </w:rPr>
      </w:pPr>
    </w:p>
    <w:p>
      <w:pPr>
        <w:ind w:firstLine="419"/>
        <w:spacing w:after="0" w:line="269" w:lineRule="auto"/>
        <w:tabs>
          <w:tab w:leader="none" w:pos="67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any Subsidiary pursuant to,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spacing w:after="0" w:line="70" w:lineRule="exact"/>
        <w:rPr>
          <w:rFonts w:ascii="Times New Roman" w:cs="Times New Roman" w:eastAsia="Times New Roman" w:hAnsi="Times New Roman"/>
          <w:sz w:val="17"/>
          <w:szCs w:val="17"/>
          <w:color w:val="auto"/>
        </w:rPr>
      </w:pPr>
    </w:p>
    <w:p>
      <w:pPr>
        <w:ind w:right="20" w:firstLine="419"/>
        <w:spacing w:after="0" w:line="256" w:lineRule="auto"/>
        <w:tabs>
          <w:tab w:leader="none" w:pos="6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foreign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47" w:name="page48"/>
    <w:bookmarkEnd w:id="47"/>
    <w:p>
      <w:pPr>
        <w:ind w:firstLine="419"/>
        <w:spacing w:after="0" w:line="252"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November 22, 2023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as set forth in General Instruction I.B.1 of Form S-3.</w:t>
      </w:r>
    </w:p>
    <w:p>
      <w:pPr>
        <w:spacing w:after="0" w:line="81" w:lineRule="exact"/>
        <w:rPr>
          <w:rFonts w:ascii="Times New Roman" w:cs="Times New Roman" w:eastAsia="Times New Roman" w:hAnsi="Times New Roman"/>
          <w:sz w:val="18"/>
          <w:szCs w:val="18"/>
          <w:color w:val="auto"/>
        </w:rPr>
      </w:pPr>
    </w:p>
    <w:p>
      <w:pPr>
        <w:ind w:right="80" w:firstLine="419"/>
        <w:spacing w:after="0" w:line="254" w:lineRule="auto"/>
        <w:tabs>
          <w:tab w:leader="none" w:pos="6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As of November 1, 2024, the Company had 57,893,458 shares of Class A common stock outstanding, 15,055,288 shares of Class B common stock outstanding, and no shares of preferred stock outstanding. The Company has not issued any capital stock since its most recently filed periodic report under the Exchange Act, other than pursuant to the exercise of employee stock options or the granting of restricted stock units, in each case under the Company’s equity incentive plans, the sale and issuance of shares of Common Stock pursuant to that certain Sales Agreement, dated as of November 9, 2023, by and between the Company and B. Riley Securities, Inc.,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Purchased Securities and for equity incentives issued</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880" w:top="270" w:right="479" w:bottom="1440" w:gutter="0" w:footer="0" w:header="0"/>
        </w:sectPr>
      </w:pPr>
    </w:p>
    <w:bookmarkStart w:id="48" w:name="page49"/>
    <w:bookmarkEnd w:id="4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Company’s equity incentive plans,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87" w:lineRule="exact"/>
        <w:rPr>
          <w:sz w:val="20"/>
          <w:szCs w:val="20"/>
          <w:color w:val="auto"/>
        </w:rPr>
      </w:pPr>
    </w:p>
    <w:p>
      <w:pPr>
        <w:ind w:firstLine="419"/>
        <w:spacing w:after="0" w:line="253" w:lineRule="auto"/>
        <w:tabs>
          <w:tab w:leader="none" w:pos="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12 months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49" w:name="page50"/>
    <w:bookmarkEnd w:id="49"/>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72" w:lineRule="exact"/>
        <w:rPr>
          <w:sz w:val="20"/>
          <w:szCs w:val="20"/>
          <w:color w:val="auto"/>
        </w:rPr>
      </w:pPr>
    </w:p>
    <w:p>
      <w:pPr>
        <w:ind w:firstLine="419"/>
        <w:spacing w:after="0" w:line="253" w:lineRule="auto"/>
        <w:tabs>
          <w:tab w:leader="none" w:pos="6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materially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incentive plans. The Company does not have pending before the Commission any request for confidential treatment of information. Except for the issuance of the Securities contemplated by this Agreement ,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prior to the date and time that this representation is made.</w:t>
      </w:r>
    </w:p>
    <w:p>
      <w:pPr>
        <w:spacing w:after="0" w:line="79"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to the knowledge of the Company, any director or officer thereof, is or has been the subject of any Action involving a claim of violation of or liability under federal or state securities laws or a claim of breach of fiduciary duty.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880" w:top="270" w:right="479" w:bottom="1440" w:gutter="0" w:footer="0" w:header="0"/>
        </w:sectPr>
      </w:pPr>
    </w:p>
    <w:bookmarkStart w:id="50" w:name="page51"/>
    <w:bookmarkEnd w:id="50"/>
    <w:p>
      <w:pPr>
        <w:ind w:right="60" w:firstLine="419"/>
        <w:spacing w:after="0" w:line="253"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that would reasonably be expected to result in a Material Adverse Effect.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81" w:lineRule="exact"/>
        <w:rPr>
          <w:rFonts w:ascii="Times New Roman" w:cs="Times New Roman" w:eastAsia="Times New Roman" w:hAnsi="Times New Roman"/>
          <w:sz w:val="18"/>
          <w:szCs w:val="18"/>
          <w:color w:val="auto"/>
        </w:rPr>
      </w:pPr>
    </w:p>
    <w:p>
      <w:pPr>
        <w:ind w:right="20" w:firstLine="419"/>
        <w:spacing w:after="0" w:line="254" w:lineRule="auto"/>
        <w:tabs>
          <w:tab w:leader="none" w:pos="6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during the last three years,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83"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51" w:name="page52"/>
    <w:bookmarkEnd w:id="51"/>
    <w:p>
      <w:pPr>
        <w:jc w:val="both"/>
        <w:ind w:right="20" w:firstLine="419"/>
        <w:spacing w:after="0" w:line="261"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71" w:lineRule="exact"/>
        <w:rPr>
          <w:rFonts w:ascii="Times New Roman" w:cs="Times New Roman" w:eastAsia="Times New Roman" w:hAnsi="Times New Roman"/>
          <w:sz w:val="18"/>
          <w:szCs w:val="18"/>
          <w:color w:val="auto"/>
        </w:rPr>
      </w:pPr>
    </w:p>
    <w:p>
      <w:pPr>
        <w:ind w:right="120" w:firstLine="419"/>
        <w:spacing w:after="0" w:line="254"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where the failure to so comply would not reasonably be expected to result in a Material Adverse Effect.</w:t>
      </w:r>
    </w:p>
    <w:p>
      <w:pPr>
        <w:spacing w:after="0" w:line="83"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52" w:name="page53"/>
    <w:bookmarkEnd w:id="52"/>
    <w:p>
      <w:pPr>
        <w:ind w:right="80" w:firstLine="419"/>
        <w:spacing w:after="0" w:line="256"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the Company believes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an increase in cost that would reasonably be expected to have a Material Adverse Effect.</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6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equity incentive plan of the Company.</w:t>
      </w:r>
    </w:p>
    <w:p>
      <w:pPr>
        <w:spacing w:after="0" w:line="80" w:lineRule="exact"/>
        <w:rPr>
          <w:rFonts w:ascii="Times New Roman" w:cs="Times New Roman" w:eastAsia="Times New Roman" w:hAnsi="Times New Roman"/>
          <w:sz w:val="18"/>
          <w:szCs w:val="18"/>
          <w:color w:val="auto"/>
        </w:rPr>
      </w:pPr>
    </w:p>
    <w:p>
      <w:pPr>
        <w:ind w:firstLine="419"/>
        <w:spacing w:after="0" w:line="252" w:lineRule="auto"/>
        <w:tabs>
          <w:tab w:leader="none" w:pos="6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provide reasonable assurance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Company presented</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53" w:name="page54"/>
    <w:bookmarkEnd w:id="5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72" w:lineRule="exact"/>
        <w:rPr>
          <w:sz w:val="20"/>
          <w:szCs w:val="20"/>
          <w:color w:val="auto"/>
        </w:rPr>
      </w:pPr>
    </w:p>
    <w:p>
      <w:pPr>
        <w:ind w:right="60" w:firstLine="419"/>
        <w:spacing w:after="0" w:line="258" w:lineRule="auto"/>
        <w:tabs>
          <w:tab w:leader="none" w:pos="6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75" w:lineRule="exact"/>
        <w:rPr>
          <w:rFonts w:ascii="Times New Roman" w:cs="Times New Roman" w:eastAsia="Times New Roman" w:hAnsi="Times New Roman"/>
          <w:sz w:val="18"/>
          <w:szCs w:val="18"/>
          <w:color w:val="auto"/>
        </w:rPr>
      </w:pPr>
    </w:p>
    <w:p>
      <w:pPr>
        <w:ind w:right="240" w:firstLine="419"/>
        <w:spacing w:after="0" w:line="282"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Neither the Company nor any Subsidiary is required to be registered as, and immediately following the Closing will not be required to register as, an “investment company” within the meaning of the Investment Company Act of 1940, as amended.</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SEC Reports, no Person has any right to cause the Company or any Subsidiary to effect the registration under the Securities Act of any securities of the Company or any Subsidiary.</w:t>
      </w:r>
    </w:p>
    <w:p>
      <w:pPr>
        <w:spacing w:after="0" w:line="53" w:lineRule="exact"/>
        <w:rPr>
          <w:rFonts w:ascii="Times New Roman" w:cs="Times New Roman" w:eastAsia="Times New Roman" w:hAnsi="Times New Roman"/>
          <w:sz w:val="18"/>
          <w:szCs w:val="18"/>
          <w:color w:val="auto"/>
        </w:rPr>
      </w:pPr>
    </w:p>
    <w:p>
      <w:pPr>
        <w:ind w:firstLine="419"/>
        <w:spacing w:after="0" w:line="254" w:lineRule="auto"/>
        <w:tabs>
          <w:tab w:leader="none" w:pos="7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The Company is in compliance with applicable Nasdaq continued listing requirements. There are no proceedings pending or, to the Company’s knowledge, threatened against the Company relating to the continued listing of the Common Stock on Nasdaq and the Company has not received any notice of, nor to the Company’s knowledge is there any reasonable basis for, the delisting of the Common Stock from Nasdaq. 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80" w:lineRule="exact"/>
        <w:rPr>
          <w:rFonts w:ascii="Times New Roman" w:cs="Times New Roman" w:eastAsia="Times New Roman" w:hAnsi="Times New Roman"/>
          <w:sz w:val="18"/>
          <w:szCs w:val="18"/>
          <w:color w:val="auto"/>
        </w:rPr>
      </w:pPr>
    </w:p>
    <w:p>
      <w:pPr>
        <w:ind w:right="60" w:firstLine="419"/>
        <w:spacing w:after="0" w:line="256"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54" w:name="page55"/>
    <w:bookmarkEnd w:id="54"/>
    <w:p>
      <w:pPr>
        <w:ind w:firstLine="419"/>
        <w:spacing w:after="0" w:line="253"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or incorporated by reference into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SEC Reports,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79" w:lineRule="exact"/>
        <w:rPr>
          <w:rFonts w:ascii="Times New Roman" w:cs="Times New Roman" w:eastAsia="Times New Roman" w:hAnsi="Times New Roman"/>
          <w:sz w:val="18"/>
          <w:szCs w:val="18"/>
          <w:color w:val="auto"/>
        </w:rPr>
      </w:pPr>
    </w:p>
    <w:p>
      <w:pPr>
        <w:ind w:firstLine="419"/>
        <w:spacing w:after="0" w:line="258" w:lineRule="auto"/>
        <w:tabs>
          <w:tab w:leader="none" w:pos="66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75" w:lineRule="exact"/>
        <w:rPr>
          <w:sz w:val="20"/>
          <w:szCs w:val="20"/>
          <w:color w:val="auto"/>
        </w:rPr>
      </w:pPr>
    </w:p>
    <w:p>
      <w:pPr>
        <w:ind w:firstLine="419"/>
        <w:spacing w:after="0" w:line="254" w:lineRule="auto"/>
        <w:tabs>
          <w:tab w:leader="none" w:pos="7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Purchased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40"/>
          </w:cols>
          <w:pgMar w:left="880" w:top="270" w:right="479" w:bottom="1440" w:gutter="0" w:footer="0" w:header="0"/>
        </w:sectPr>
      </w:pPr>
    </w:p>
    <w:bookmarkStart w:id="55" w:name="page56"/>
    <w:bookmarkEnd w:id="55"/>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As of the date hereof, neither the Company nor any Subsidiary has any outstanding secured or unsecured Indebtedness.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 in excess of $50,000 due and payable as of the date hereof under any lease required to be capitalized in accordance with GAAP. Neither the Company nor any Subsidiary is in default with respect to any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-988695</wp:posOffset>
            </wp:positionV>
            <wp:extent cx="285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64" w:lineRule="exact"/>
        <w:rPr>
          <w:sz w:val="20"/>
          <w:szCs w:val="20"/>
          <w:color w:val="auto"/>
        </w:rPr>
      </w:pPr>
    </w:p>
    <w:p>
      <w:pPr>
        <w:ind w:left="4" w:right="200" w:firstLine="419"/>
        <w:spacing w:after="0" w:line="270" w:lineRule="auto"/>
        <w:tabs>
          <w:tab w:leader="none" w:pos="77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Status</w:t>
      </w:r>
      <w:r>
        <w:rPr>
          <w:rFonts w:ascii="Times New Roman" w:cs="Times New Roman" w:eastAsia="Times New Roman" w:hAnsi="Times New Roman"/>
          <w:sz w:val="17"/>
          <w:szCs w:val="17"/>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7"/>
          <w:szCs w:val="17"/>
          <w:color w:val="auto"/>
        </w:rPr>
      </w:pPr>
    </w:p>
    <w:p>
      <w:pPr>
        <w:ind w:left="4" w:right="180" w:hanging="4"/>
        <w:spacing w:after="0" w:line="255" w:lineRule="auto"/>
        <w:tabs>
          <w:tab w:leader="none" w:pos="3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77" w:lineRule="exact"/>
        <w:rPr>
          <w:rFonts w:ascii="Times New Roman" w:cs="Times New Roman" w:eastAsia="Times New Roman" w:hAnsi="Times New Roman"/>
          <w:sz w:val="18"/>
          <w:szCs w:val="18"/>
          <w:color w:val="auto"/>
        </w:rPr>
      </w:pPr>
    </w:p>
    <w:p>
      <w:pPr>
        <w:ind w:left="4" w:firstLine="419"/>
        <w:spacing w:after="0" w:line="256" w:lineRule="auto"/>
        <w:tabs>
          <w:tab w:leader="none" w:pos="75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79" w:lineRule="exact"/>
        <w:rPr>
          <w:rFonts w:ascii="Times New Roman" w:cs="Times New Roman" w:eastAsia="Times New Roman" w:hAnsi="Times New Roman"/>
          <w:sz w:val="18"/>
          <w:szCs w:val="18"/>
          <w:color w:val="auto"/>
        </w:rPr>
      </w:pPr>
    </w:p>
    <w:p>
      <w:pPr>
        <w:ind w:left="4" w:right="20" w:firstLine="419"/>
        <w:spacing w:after="0" w:line="266" w:lineRule="auto"/>
        <w:tabs>
          <w:tab w:leader="none" w:pos="77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Grant Thornton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2024.</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4"/>
          </w:cols>
          <w:pgMar w:left="876" w:top="270" w:right="459" w:bottom="1440" w:gutter="0" w:footer="0" w:header="0"/>
        </w:sectPr>
      </w:pPr>
    </w:p>
    <w:bookmarkStart w:id="56" w:name="page57"/>
    <w:bookmarkEnd w:id="56"/>
    <w:p>
      <w:pPr>
        <w:ind w:right="60" w:firstLine="419"/>
        <w:spacing w:after="0" w:line="254" w:lineRule="auto"/>
        <w:tabs>
          <w:tab w:leader="none" w:pos="7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83" w:lineRule="exact"/>
        <w:rPr>
          <w:rFonts w:ascii="Times New Roman" w:cs="Times New Roman" w:eastAsia="Times New Roman" w:hAnsi="Times New Roman"/>
          <w:sz w:val="18"/>
          <w:szCs w:val="18"/>
          <w:color w:val="auto"/>
        </w:rPr>
      </w:pPr>
    </w:p>
    <w:p>
      <w:pPr>
        <w:ind w:right="60" w:firstLine="419"/>
        <w:spacing w:after="0" w:line="252" w:lineRule="auto"/>
        <w:tabs>
          <w:tab w:leader="none" w:pos="7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transaction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89" w:lineRule="exact"/>
        <w:rPr>
          <w:rFonts w:ascii="Times New Roman" w:cs="Times New Roman" w:eastAsia="Times New Roman" w:hAnsi="Times New Roman"/>
          <w:sz w:val="18"/>
          <w:szCs w:val="18"/>
          <w:color w:val="auto"/>
        </w:rPr>
      </w:pPr>
    </w:p>
    <w:p>
      <w:pPr>
        <w:ind w:firstLine="419"/>
        <w:spacing w:after="0" w:line="258" w:lineRule="auto"/>
        <w:tabs>
          <w:tab w:leader="none" w:pos="7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40"/>
          </w:cols>
          <w:pgMar w:left="880" w:top="270" w:right="479" w:bottom="1440" w:gutter="0" w:footer="0" w:header="0"/>
        </w:sectPr>
      </w:pPr>
    </w:p>
    <w:bookmarkStart w:id="57" w:name="page58"/>
    <w:bookmarkEnd w:id="57"/>
    <w:p>
      <w:pPr>
        <w:ind w:left="4" w:firstLine="419"/>
        <w:spacing w:after="0" w:line="267" w:lineRule="auto"/>
        <w:tabs>
          <w:tab w:leader="none" w:pos="771"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FDA</w:t>
      </w:r>
      <w:r>
        <w:rPr>
          <w:rFonts w:ascii="Times New Roman" w:cs="Times New Roman" w:eastAsia="Times New Roman" w:hAnsi="Times New Roman"/>
          <w:sz w:val="17"/>
          <w:szCs w:val="17"/>
          <w:color w:val="auto"/>
        </w:rPr>
        <w:t>. As to each product subject to the jurisdiction of the U.S. Food and Drug Administration (“</w:t>
      </w:r>
      <w:r>
        <w:rPr>
          <w:rFonts w:ascii="Times New Roman" w:cs="Times New Roman" w:eastAsia="Times New Roman" w:hAnsi="Times New Roman"/>
          <w:sz w:val="17"/>
          <w:szCs w:val="17"/>
          <w:u w:val="single" w:color="auto"/>
          <w:color w:val="auto"/>
        </w:rPr>
        <w:t>FDA</w:t>
      </w:r>
      <w:r>
        <w:rPr>
          <w:rFonts w:ascii="Times New Roman" w:cs="Times New Roman" w:eastAsia="Times New Roman" w:hAnsi="Times New Roman"/>
          <w:sz w:val="17"/>
          <w:szCs w:val="17"/>
          <w:color w:val="auto"/>
        </w:rPr>
        <w:t>”) under the Federal Food, Drug and Cosmetic Act, as amended, and the regulations thereunder (“</w:t>
      </w:r>
      <w:r>
        <w:rPr>
          <w:rFonts w:ascii="Times New Roman" w:cs="Times New Roman" w:eastAsia="Times New Roman" w:hAnsi="Times New Roman"/>
          <w:sz w:val="17"/>
          <w:szCs w:val="17"/>
          <w:u w:val="single" w:color="auto"/>
          <w:color w:val="auto"/>
        </w:rPr>
        <w:t>FDCA</w:t>
      </w:r>
      <w:r>
        <w:rPr>
          <w:rFonts w:ascii="Times New Roman" w:cs="Times New Roman" w:eastAsia="Times New Roman" w:hAnsi="Times New Roman"/>
          <w:sz w:val="17"/>
          <w:szCs w:val="17"/>
          <w:color w:val="auto"/>
        </w:rPr>
        <w:t xml:space="preserve">”) that is manufactured, packaged, labeled, tested, distributed, sold, and/or marketed by the Company or any of its Subsidiaries (each such product, a “ </w:t>
      </w:r>
      <w:r>
        <w:rPr>
          <w:rFonts w:ascii="Times New Roman" w:cs="Times New Roman" w:eastAsia="Times New Roman" w:hAnsi="Times New Roman"/>
          <w:sz w:val="17"/>
          <w:szCs w:val="17"/>
          <w:u w:val="single" w:color="auto"/>
          <w:color w:val="auto"/>
        </w:rPr>
        <w:t>Product</w:t>
      </w:r>
      <w:r>
        <w:rPr>
          <w:rFonts w:ascii="Times New Roman" w:cs="Times New Roman" w:eastAsia="Times New Roman" w:hAnsi="Times New Roman"/>
          <w:sz w:val="17"/>
          <w:szCs w:val="17"/>
          <w:color w:val="auto"/>
        </w:rPr>
        <w:t>”), such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Product,</w:t>
      </w:r>
    </w:p>
    <w:p>
      <w:pPr>
        <w:spacing w:after="0" w:line="2" w:lineRule="exact"/>
        <w:rPr>
          <w:rFonts w:ascii="Times New Roman" w:cs="Times New Roman" w:eastAsia="Times New Roman" w:hAnsi="Times New Roman"/>
          <w:sz w:val="17"/>
          <w:szCs w:val="17"/>
          <w:color w:val="auto"/>
        </w:rPr>
      </w:pPr>
    </w:p>
    <w:p>
      <w:pPr>
        <w:ind w:left="4" w:hanging="4"/>
        <w:spacing w:after="0" w:line="265" w:lineRule="auto"/>
        <w:tabs>
          <w:tab w:leader="none" w:pos="26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withdraws its approval of, requests the recall, suspension, or seizure of, or withdraws or orders the withdrawal of advertising or sales promotional materials relating to, any Product, (iii) imposes a clinical hold on any clinical investigation by the Company or any of its Subsidiaries,</w:t>
      </w:r>
    </w:p>
    <w:p>
      <w:pPr>
        <w:ind w:left="4" w:hanging="4"/>
        <w:spacing w:after="0" w:line="252" w:lineRule="auto"/>
        <w:tabs>
          <w:tab w:leader="none" w:pos="3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80" w:lineRule="exact"/>
        <w:rPr>
          <w:rFonts w:ascii="Times New Roman" w:cs="Times New Roman" w:eastAsia="Times New Roman" w:hAnsi="Times New Roman"/>
          <w:sz w:val="18"/>
          <w:szCs w:val="18"/>
          <w:color w:val="auto"/>
        </w:rPr>
      </w:pPr>
    </w:p>
    <w:p>
      <w:pPr>
        <w:ind w:left="4" w:firstLine="419"/>
        <w:spacing w:after="0" w:line="253" w:lineRule="auto"/>
        <w:tabs>
          <w:tab w:leader="none" w:pos="69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To the Company’s knowledge,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except as would not, individually or in the aggregate, have a Material Adverse Effect and (y) the Company and the Subsidiaries have not been notified of, and has no knowledge of any event or condition that would reasonably be expected to result in, any security breach or other compromise to its IT Systems and Data that would cause a Material Adverse Effect; (ii) the Company and the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4"/>
          </w:cols>
          <w:pgMar w:left="876" w:top="270" w:right="459" w:bottom="1440" w:gutter="0" w:footer="0" w:header="0"/>
        </w:sectPr>
      </w:pPr>
    </w:p>
    <w:bookmarkStart w:id="58" w:name="page59"/>
    <w:bookmarkEnd w:id="58"/>
    <w:p>
      <w:pPr>
        <w:ind w:left="4" w:right="1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commercially reasonable industry standards and practices.</w:t>
      </w:r>
    </w:p>
    <w:p>
      <w:pPr>
        <w:spacing w:after="0" w:line="50" w:lineRule="exact"/>
        <w:rPr>
          <w:sz w:val="20"/>
          <w:szCs w:val="20"/>
          <w:color w:val="auto"/>
        </w:rPr>
      </w:pPr>
    </w:p>
    <w:p>
      <w:pPr>
        <w:ind w:left="4" w:right="40" w:firstLine="419"/>
        <w:spacing w:after="0" w:line="268" w:lineRule="auto"/>
        <w:tabs>
          <w:tab w:leader="none" w:pos="691"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Data Privacy Laws</w:t>
      </w:r>
      <w:r>
        <w:rPr>
          <w:rFonts w:ascii="Times New Roman" w:cs="Times New Roman" w:eastAsia="Times New Roman" w:hAnsi="Times New Roman"/>
          <w:sz w:val="17"/>
          <w:szCs w:val="17"/>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7"/>
          <w:szCs w:val="17"/>
          <w:u w:val="single" w:color="auto"/>
          <w:color w:val="auto"/>
        </w:rPr>
        <w:t>GDPR</w:t>
      </w:r>
      <w:r>
        <w:rPr>
          <w:rFonts w:ascii="Times New Roman" w:cs="Times New Roman" w:eastAsia="Times New Roman" w:hAnsi="Times New Roman"/>
          <w:sz w:val="17"/>
          <w:szCs w:val="17"/>
          <w:color w:val="auto"/>
        </w:rPr>
        <w:t>”) (EU 2016/679) (collectively, “</w:t>
      </w:r>
      <w:r>
        <w:rPr>
          <w:rFonts w:ascii="Times New Roman" w:cs="Times New Roman" w:eastAsia="Times New Roman" w:hAnsi="Times New Roman"/>
          <w:sz w:val="17"/>
          <w:szCs w:val="17"/>
          <w:u w:val="single" w:color="auto"/>
          <w:color w:val="auto"/>
        </w:rPr>
        <w:t>Privacy Laws</w:t>
      </w:r>
      <w:r>
        <w:rPr>
          <w:rFonts w:ascii="Times New Roman" w:cs="Times New Roman" w:eastAsia="Times New Roman" w:hAnsi="Times New Roman"/>
          <w:sz w:val="17"/>
          <w:szCs w:val="17"/>
          <w:color w:val="auto"/>
        </w:rPr>
        <w:t>”), except as would not, individually or in the aggregate, have a Material Adverse Effect; (ii) the Company and the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7"/>
          <w:szCs w:val="17"/>
          <w:u w:val="single" w:color="auto"/>
          <w:color w:val="auto"/>
        </w:rPr>
        <w:t>Policies</w:t>
      </w:r>
      <w:r>
        <w:rPr>
          <w:rFonts w:ascii="Times New Roman" w:cs="Times New Roman" w:eastAsia="Times New Roman" w:hAnsi="Times New Roman"/>
          <w:sz w:val="17"/>
          <w:szCs w:val="17"/>
          <w:color w:val="auto"/>
        </w:rPr>
        <w:t>”); (iii) the Company provides accurate notice of its applicable Policies to its customers, employees, third party vendors and representatives as required by the Privacy Laws; and</w:t>
      </w:r>
    </w:p>
    <w:p>
      <w:pPr>
        <w:spacing w:after="0" w:line="2" w:lineRule="exact"/>
        <w:rPr>
          <w:rFonts w:ascii="Times New Roman" w:cs="Times New Roman" w:eastAsia="Times New Roman" w:hAnsi="Times New Roman"/>
          <w:sz w:val="17"/>
          <w:szCs w:val="17"/>
          <w:color w:val="auto"/>
        </w:rPr>
      </w:pPr>
    </w:p>
    <w:p>
      <w:pPr>
        <w:ind w:left="4" w:hanging="4"/>
        <w:spacing w:after="0" w:line="265" w:lineRule="auto"/>
        <w:tabs>
          <w:tab w:leader="none" w:pos="30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7"/>
          <w:szCs w:val="17"/>
          <w:u w:val="single" w:color="auto"/>
          <w:color w:val="auto"/>
        </w:rPr>
        <w:t>Personal Data</w:t>
      </w:r>
      <w:r>
        <w:rPr>
          <w:rFonts w:ascii="Times New Roman" w:cs="Times New Roman" w:eastAsia="Times New Roman" w:hAnsi="Times New Roman"/>
          <w:sz w:val="17"/>
          <w:szCs w:val="17"/>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w:t>
      </w:r>
    </w:p>
    <w:p>
      <w:pPr>
        <w:spacing w:after="0" w:line="1" w:lineRule="exact"/>
        <w:rPr>
          <w:rFonts w:ascii="Times New Roman" w:cs="Times New Roman" w:eastAsia="Times New Roman" w:hAnsi="Times New Roman"/>
          <w:sz w:val="17"/>
          <w:szCs w:val="17"/>
          <w:color w:val="auto"/>
        </w:rPr>
      </w:pPr>
    </w:p>
    <w:p>
      <w:pPr>
        <w:ind w:left="4" w:right="20" w:hanging="4"/>
        <w:spacing w:after="0" w:line="252" w:lineRule="auto"/>
        <w:tabs>
          <w:tab w:leader="none" w:pos="2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81" w:lineRule="exact"/>
        <w:rPr>
          <w:rFonts w:ascii="Times New Roman" w:cs="Times New Roman" w:eastAsia="Times New Roman" w:hAnsi="Times New Roman"/>
          <w:sz w:val="18"/>
          <w:szCs w:val="18"/>
          <w:color w:val="auto"/>
        </w:rPr>
      </w:pPr>
    </w:p>
    <w:p>
      <w:pPr>
        <w:ind w:left="4" w:right="80" w:firstLine="419"/>
        <w:spacing w:after="0" w:line="256" w:lineRule="auto"/>
        <w:tabs>
          <w:tab w:leader="none" w:pos="77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Incentive Plans</w:t>
      </w:r>
      <w:r>
        <w:rPr>
          <w:rFonts w:ascii="Times New Roman" w:cs="Times New Roman" w:eastAsia="Times New Roman" w:hAnsi="Times New Roman"/>
          <w:sz w:val="18"/>
          <w:szCs w:val="18"/>
          <w:color w:val="auto"/>
        </w:rPr>
        <w:t>. Each stock option granted by the Company under the Company’s equity inventive plans was granted (i) in accordance with the terms of the Company’s equity incentive plan and (ii) with an exercise price at least equal to the fair market value of the Common Stock on the date such stock option would be considered granted under GAAP and applicable law. No stock option granted under the Company’s equity inventive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4"/>
          </w:cols>
          <w:pgMar w:left="876" w:top="270" w:right="459" w:bottom="1440" w:gutter="0" w:footer="0" w:header="0"/>
        </w:sectPr>
      </w:pPr>
    </w:p>
    <w:bookmarkStart w:id="59" w:name="page60"/>
    <w:bookmarkEnd w:id="59"/>
    <w:p>
      <w:pPr>
        <w:ind w:left="440" w:right="320" w:firstLine="419"/>
        <w:spacing w:after="0" w:line="266" w:lineRule="auto"/>
        <w:tabs>
          <w:tab w:leader="none" w:pos="11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3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2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79" w:lineRule="exact"/>
        <w:rPr>
          <w:rFonts w:ascii="Times New Roman" w:cs="Times New Roman" w:eastAsia="Times New Roman" w:hAnsi="Times New Roman"/>
          <w:sz w:val="18"/>
          <w:szCs w:val="18"/>
          <w:color w:val="auto"/>
        </w:rPr>
      </w:pPr>
    </w:p>
    <w:p>
      <w:pPr>
        <w:ind w:left="440" w:firstLine="419"/>
        <w:spacing w:after="0" w:line="258" w:lineRule="auto"/>
        <w:tabs>
          <w:tab w:leader="none" w:pos="12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68" w:lineRule="exact"/>
        <w:rPr>
          <w:sz w:val="20"/>
          <w:szCs w:val="20"/>
          <w:color w:val="auto"/>
        </w:rPr>
      </w:pPr>
    </w:p>
    <w:p>
      <w:pPr>
        <w:ind w:left="440" w:right="60" w:firstLine="419"/>
        <w:spacing w:after="0" w:line="258" w:lineRule="auto"/>
        <w:tabs>
          <w:tab w:leader="none" w:pos="110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60" w:name="page61"/>
    <w:bookmarkEnd w:id="6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79" w:lineRule="exact"/>
        <w:rPr>
          <w:sz w:val="20"/>
          <w:szCs w:val="20"/>
          <w:color w:val="auto"/>
        </w:rPr>
      </w:pPr>
    </w:p>
    <w:p>
      <w:pPr>
        <w:ind w:right="20" w:firstLine="419"/>
        <w:spacing w:after="0" w:line="261"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71" w:lineRule="exact"/>
        <w:rPr>
          <w:rFonts w:ascii="Times New Roman" w:cs="Times New Roman" w:eastAsia="Times New Roman" w:hAnsi="Times New Roman"/>
          <w:sz w:val="18"/>
          <w:szCs w:val="18"/>
          <w:color w:val="auto"/>
        </w:rPr>
      </w:pPr>
    </w:p>
    <w:p>
      <w:pPr>
        <w:ind w:right="80" w:firstLine="419"/>
        <w:spacing w:after="0" w:line="266" w:lineRule="auto"/>
        <w:tabs>
          <w:tab w:leader="none" w:pos="66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an “accredited investor” as defined in Rule 501(a)(1), (a)(2), (a)(3), (a)(7), (a)(8), (a)(9), (a)(12), or (a)(13) under the Securities Act.</w:t>
      </w:r>
    </w:p>
    <w:p>
      <w:pPr>
        <w:spacing w:after="0" w:line="67" w:lineRule="exact"/>
        <w:rPr>
          <w:rFonts w:ascii="Times New Roman" w:cs="Times New Roman" w:eastAsia="Times New Roman" w:hAnsi="Times New Roman"/>
          <w:sz w:val="18"/>
          <w:szCs w:val="18"/>
          <w:color w:val="auto"/>
        </w:rPr>
      </w:pPr>
    </w:p>
    <w:p>
      <w:pPr>
        <w:jc w:val="both"/>
        <w:ind w:right="120" w:firstLine="419"/>
        <w:spacing w:after="0" w:line="261"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71" w:lineRule="exact"/>
        <w:rPr>
          <w:rFonts w:ascii="Times New Roman" w:cs="Times New Roman" w:eastAsia="Times New Roman" w:hAnsi="Times New Roman"/>
          <w:sz w:val="18"/>
          <w:szCs w:val="18"/>
          <w:color w:val="auto"/>
        </w:rPr>
      </w:pPr>
    </w:p>
    <w:p>
      <w:pPr>
        <w:ind w:right="20" w:firstLine="419"/>
        <w:spacing w:after="0" w:line="253" w:lineRule="auto"/>
        <w:tabs>
          <w:tab w:leader="none" w:pos="66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61" w:name="page62"/>
    <w:bookmarkEnd w:id="61"/>
    <w:p>
      <w:pPr>
        <w:ind w:left="440" w:right="40" w:firstLine="419"/>
        <w:spacing w:after="0" w:line="252" w:lineRule="auto"/>
        <w:tabs>
          <w:tab w:leader="none" w:pos="108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Shares, the Warrants and, if all or any portion of a Warrant is exercised at a time when there is an effective registration statement to cover the issuance or resale of the Warrant Shares or if the Warrant is exercised via cashless exercise,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62" w:name="page63"/>
    <w:bookmarkEnd w:id="62"/>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Company to issue, or any Purchaser to sell, any of the Warrant Shares in compliance with applicable federal and state securities laws). The Company shall use best efforts to keep a registration statement (including the Registration Statement) registering the issuance or resale of the Warrant Shares effective during the term of the Warrants.</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earliest of the time that (i) no Purchaser owns Securities or (ii) the Warrants have expired,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0"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63" w:name="page64"/>
    <w:bookmarkEnd w:id="63"/>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and any additional material, non-public information that is contained in the Transaction Documents or contained in or incorporated by reference into the Prospectus,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-1123950</wp:posOffset>
            </wp:positionV>
            <wp:extent cx="285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general corporate and working capital purposes and shall not use such proceeds in violation of FCPA or OFAC regulations.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xml:space="preserve">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64" w:name="page65"/>
    <w:bookmarkEnd w:id="64"/>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and documented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and (c) in connection with any registration statement of the Company providing for the resale by the Purchasers of the Warrant Shares issued and issuable upon exercise of the Warrants,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and documented fees and expenses of no more than one such separate counsel. The Company will not be liable to any Purchaser Party under this Agreement</w:t>
      </w:r>
    </w:p>
    <w:p>
      <w:pPr>
        <w:spacing w:after="0" w:line="6" w:lineRule="exact"/>
        <w:rPr>
          <w:sz w:val="20"/>
          <w:szCs w:val="20"/>
          <w:color w:val="auto"/>
        </w:rPr>
      </w:pPr>
    </w:p>
    <w:p>
      <w:pPr>
        <w:ind w:left="4" w:right="100" w:hanging="4"/>
        <w:spacing w:after="0" w:line="260" w:lineRule="auto"/>
        <w:tabs>
          <w:tab w:leader="none" w:pos="2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settlement by a Purchaser Party effected without the Company’s prior written consent, which shall not be unreasonably withheld or delayed; or (z) to the extent, but only to the extent that a loss, claim, damage or liability is attributable to any Purchaser Party’s breach of any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65" w:name="page66"/>
    <w:bookmarkEnd w:id="65"/>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Purchaser Party’s representations, warranties or covenants under the Transaction Documents, as determined by a final, non-appealable judgment of a court of competent jurisdiction. The Company shall not, without the prior written consent of the Purchaser Party, effect any settlement of any pending or threatened proceeding in respect of which any Purchaser Party is or could have been a party and indemnity could have been sought hereunder by such Purchaser Party, unless such settlement includes an unconditional release of such Purchaser Party from all liability on claims that are the subject matter of such proceeding and does not include any statements as to or any findings of fault, culpability or failure to act by or on behalf of any Purchaser Party.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9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commercially reasonable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80" w:firstLine="419"/>
        <w:spacing w:after="0" w:line="261" w:lineRule="auto"/>
        <w:tabs>
          <w:tab w:leader="none" w:pos="11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90 days after the Closing Date, neither the Company nor any Subsidiary shall (i) issue, enter into any agreement to issue or announce the issuance or proposed issuance of any Common Stock or Common Stock Equivalents or (ii) file any registration statement or any amendment or supplement thereto other than a registration statement on Form S-8 in connection with the Company’s existing equity incentive plans, in each case other than as contemplated by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66" w:name="page67"/>
    <w:bookmarkEnd w:id="66"/>
    <w:p>
      <w:pPr>
        <w:ind w:left="4" w:firstLine="419"/>
        <w:spacing w:after="0" w:line="268" w:lineRule="auto"/>
        <w:tabs>
          <w:tab w:leader="none" w:pos="681"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the date hereof until 180 days after the Closing Date, the Company shall be prohibited from effecting or entering into an agreement to effect any issuance by the Company or any of its Subsidiaries of Common Stock or Common Stock Equivalents (or a combination of units thereof) involving a Variable Rate Transaction. “Variable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w:t>
      </w:r>
    </w:p>
    <w:p>
      <w:pPr>
        <w:ind w:left="4" w:right="40" w:hanging="4"/>
        <w:spacing w:after="0" w:line="250" w:lineRule="auto"/>
        <w:tabs>
          <w:tab w:leader="none" w:pos="2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or effects a transaction under, any agreement, including, but not limited to, an equity line of credit whereby the Company may issue securities at a future determined price regardless of whether shares pursuant to such agreement have actually been issued and regardless of whether such agreement is subsequently canceled. Any Purchaser shall be entitled to obtain injunctive relief against the Company to preclude any such issuance, which remedy shall be in addition to any right to collect damages. Notwithstanding the foregoing, this clause (b) of this</w:t>
      </w:r>
    </w:p>
    <w:p>
      <w:pPr>
        <w:spacing w:after="0" w:line="1" w:lineRule="exact"/>
        <w:rPr>
          <w:rFonts w:ascii="Times New Roman" w:cs="Times New Roman" w:eastAsia="Times New Roman" w:hAnsi="Times New Roman"/>
          <w:sz w:val="18"/>
          <w:szCs w:val="18"/>
          <w:color w:val="auto"/>
        </w:rPr>
      </w:pPr>
    </w:p>
    <w:p>
      <w:pPr>
        <w:ind w:left="4" w:right="7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4.11 shall not apply in respect of any offering, sale or issuance in connection with any “at the market offering” that is or may be established by the Company.</w:t>
      </w:r>
    </w:p>
    <w:p>
      <w:pPr>
        <w:spacing w:after="0" w:line="73" w:lineRule="exact"/>
        <w:rPr>
          <w:rFonts w:ascii="Times New Roman" w:cs="Times New Roman" w:eastAsia="Times New Roman" w:hAnsi="Times New Roman"/>
          <w:sz w:val="18"/>
          <w:szCs w:val="18"/>
          <w:color w:val="auto"/>
        </w:rPr>
      </w:pPr>
    </w:p>
    <w:p>
      <w:pPr>
        <w:ind w:left="4" w:right="740" w:firstLine="419"/>
        <w:spacing w:after="0" w:line="282" w:lineRule="auto"/>
        <w:tabs>
          <w:tab w:leader="none" w:pos="67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 except that no Variable Rate Transaction shall be an Exempt Issuance.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Participation in Future Financing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180" w:firstLine="419"/>
        <w:spacing w:after="0" w:line="261" w:lineRule="auto"/>
        <w:tabs>
          <w:tab w:leader="none" w:pos="6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date that is one year after the date of the Prospectus Supplement, upon any issuance by the Company or any of its Subsidiaries of Common Stock, Common Stock Equivalents, preferred stock or a combination of such securities (each, a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the Purchasers shall have the right to participate in up to an amount of the Subsequent Financing equal to 25% of the Subsequent Financing (the “</w:t>
      </w:r>
      <w:r>
        <w:rPr>
          <w:rFonts w:ascii="Times New Roman" w:cs="Times New Roman" w:eastAsia="Times New Roman" w:hAnsi="Times New Roman"/>
          <w:sz w:val="18"/>
          <w:szCs w:val="18"/>
          <w:u w:val="single" w:color="auto"/>
          <w:color w:val="auto"/>
        </w:rPr>
        <w:t>Participation Maximum</w:t>
      </w:r>
      <w:r>
        <w:rPr>
          <w:rFonts w:ascii="Times New Roman" w:cs="Times New Roman" w:eastAsia="Times New Roman" w:hAnsi="Times New Roman"/>
          <w:sz w:val="18"/>
          <w:szCs w:val="18"/>
          <w:color w:val="auto"/>
        </w:rPr>
        <w:t>”) on the same terms, conditions and price provided for in the Subsequent Financing.</w:t>
      </w:r>
    </w:p>
    <w:p>
      <w:pPr>
        <w:spacing w:after="0" w:line="71" w:lineRule="exact"/>
        <w:rPr>
          <w:rFonts w:ascii="Times New Roman" w:cs="Times New Roman" w:eastAsia="Times New Roman" w:hAnsi="Times New Roman"/>
          <w:sz w:val="18"/>
          <w:szCs w:val="18"/>
          <w:color w:val="auto"/>
        </w:rPr>
      </w:pPr>
    </w:p>
    <w:p>
      <w:pPr>
        <w:ind w:left="4" w:firstLine="419"/>
        <w:spacing w:after="0" w:line="254" w:lineRule="auto"/>
        <w:tabs>
          <w:tab w:leader="none" w:pos="68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Trading Days prior to the closing of the Subsequent Financing, the Company shall deliver to each Purchaser a written notice of its intention to effect a Subsequent Financing (“</w:t>
      </w:r>
      <w:r>
        <w:rPr>
          <w:rFonts w:ascii="Times New Roman" w:cs="Times New Roman" w:eastAsia="Times New Roman" w:hAnsi="Times New Roman"/>
          <w:sz w:val="18"/>
          <w:szCs w:val="18"/>
          <w:u w:val="single" w:color="auto"/>
          <w:color w:val="auto"/>
        </w:rPr>
        <w:t>Pre-Notice</w:t>
      </w:r>
      <w:r>
        <w:rPr>
          <w:rFonts w:ascii="Times New Roman" w:cs="Times New Roman" w:eastAsia="Times New Roman" w:hAnsi="Times New Roman"/>
          <w:sz w:val="18"/>
          <w:szCs w:val="18"/>
          <w:color w:val="auto"/>
        </w:rPr>
        <w:t>”), which Pre-Notice shall ask such Purchaser if it wants to review the details of such financing (such additional notice, a “</w:t>
      </w:r>
      <w:r>
        <w:rPr>
          <w:rFonts w:ascii="Times New Roman" w:cs="Times New Roman" w:eastAsia="Times New Roman" w:hAnsi="Times New Roman"/>
          <w:sz w:val="18"/>
          <w:szCs w:val="18"/>
          <w:u w:val="single" w:color="auto"/>
          <w:color w:val="auto"/>
        </w:rPr>
        <w:t>Subsequent Financing Notice</w:t>
      </w:r>
      <w:r>
        <w:rPr>
          <w:rFonts w:ascii="Times New Roman" w:cs="Times New Roman" w:eastAsia="Times New Roman" w:hAnsi="Times New Roman"/>
          <w:sz w:val="18"/>
          <w:szCs w:val="18"/>
          <w:color w:val="auto"/>
        </w:rPr>
        <w:t>”). Upon the request of a Purchaser, and only upon a request by such Purchaser, for a Subsequent Financing Notice, the Company shall promptly, but no later than one (1) Trading Day after such request, deliver a Subsequent Financing Notice to such Purchaser. The Subsequent Financing Notice shall describe in reasonable detail the proposed terms of such Subsequent Financing, the amount of proceeds intended to be raised thereunder and the Person or Persons through or with whom such Subsequent Financing is proposed to be effected and shall include a term sheet or similar document relating thereto as an attachment, which information the Purchaser hereby agrees to keep confidential subject to clause (h) of this Section 4.12.</w:t>
      </w:r>
    </w:p>
    <w:p>
      <w:pPr>
        <w:spacing w:after="0" w:line="12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44"/>
          </w:cols>
          <w:pgMar w:left="876" w:top="270" w:right="479" w:bottom="1440" w:gutter="0" w:footer="0" w:header="0"/>
        </w:sectPr>
      </w:pPr>
    </w:p>
    <w:bookmarkStart w:id="67" w:name="page68"/>
    <w:bookmarkEnd w:id="67"/>
    <w:p>
      <w:pPr>
        <w:ind w:firstLine="419"/>
        <w:spacing w:after="0" w:line="256" w:lineRule="auto"/>
        <w:tabs>
          <w:tab w:leader="none" w:pos="6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Purchaser desiring to participate in such Subsequent Financing must provide written notice to the Company by not later than 5:30 p.m. (New York City time) on the third (3rd) Trading Day after all of the Purchasers have received the Pre-Notice that such Purchaser is willing to participate in the Subsequent Financing, the amount of such Purchaser’s participation, and representing and warranting that such Purchaser has such funds ready, willing, and available for investment on the terms set forth in the Subsequent Financing Notice. If the Company receives no such notice from a Purchaser as of such third (3rd) Trading Day, such Purchaser shall be deemed to have notified the Company that it does not elect to participate.</w:t>
      </w:r>
    </w:p>
    <w:p>
      <w:pPr>
        <w:spacing w:after="0" w:line="79"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5:30 p.m. (New York City time) on the third (3rd) Trading Day after all of the Purchasers have received the Pre-Notice, notifications by the Purchasers of their willingness to participate in the Subsequent Financing (or to cause their designees to participate) is, in the aggregate, less than the total amount of the Subsequent Financing, then the Company may effect the remaining portion of such Subsequent Financing on the terms and with the Persons set forth in the Subsequent Financing Notice.</w:t>
      </w:r>
    </w:p>
    <w:p>
      <w:pPr>
        <w:spacing w:after="0" w:line="71" w:lineRule="exact"/>
        <w:rPr>
          <w:rFonts w:ascii="Times New Roman" w:cs="Times New Roman" w:eastAsia="Times New Roman" w:hAnsi="Times New Roman"/>
          <w:sz w:val="18"/>
          <w:szCs w:val="18"/>
          <w:color w:val="auto"/>
        </w:rPr>
      </w:pPr>
    </w:p>
    <w:p>
      <w:pPr>
        <w:ind w:right="220" w:firstLine="419"/>
        <w:spacing w:after="0" w:line="256" w:lineRule="auto"/>
        <w:tabs>
          <w:tab w:leader="none" w:pos="6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5:30 p.m. (New York City time) on the third (3rd) Trading Day after all of the Purchasers have received the Pre-Notice, the Company receives responses to a Subsequent Financing Notice from Purchasers seeking to purchase more than the aggregate amount of the Participation Maximum, each such Purchaser shall have the right to purchase its Pro Rata Portion (as defined below) of the Participation Maximum. “Pro Rata Portion” means the ratio of (x) the Subscription Amount of Securities purchased on the Closing Date by a Purchaser participating under this Section 4.12 and (y) the sum of the aggregate Subscription Amounts of Securities purchased on the Closing Date by all Purchasers participating under this Section.</w:t>
      </w:r>
    </w:p>
    <w:p>
      <w:pPr>
        <w:spacing w:after="0" w:line="79" w:lineRule="exact"/>
        <w:rPr>
          <w:rFonts w:ascii="Times New Roman" w:cs="Times New Roman" w:eastAsia="Times New Roman" w:hAnsi="Times New Roman"/>
          <w:sz w:val="18"/>
          <w:szCs w:val="18"/>
          <w:color w:val="auto"/>
        </w:rPr>
      </w:pPr>
    </w:p>
    <w:p>
      <w:pPr>
        <w:ind w:right="140" w:firstLine="419"/>
        <w:spacing w:after="0" w:line="261" w:lineRule="auto"/>
        <w:tabs>
          <w:tab w:leader="none" w:pos="64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provide the Purchasers with a second Subsequent Financing Notice, and the Purchasers will again have the right of participation set forth above in this Section 4.12, if the Subsequent Financing subject to the initial Subsequent Financing Notice is not consummated for any reason on the terms set forth in such Subsequent Financing Notice within five (5) Trading Days after the date of the initial Subsequent Financing Notice.</w:t>
      </w:r>
    </w:p>
    <w:p>
      <w:pPr>
        <w:spacing w:after="0" w:line="71" w:lineRule="exact"/>
        <w:rPr>
          <w:rFonts w:ascii="Times New Roman" w:cs="Times New Roman" w:eastAsia="Times New Roman" w:hAnsi="Times New Roman"/>
          <w:sz w:val="18"/>
          <w:szCs w:val="18"/>
          <w:color w:val="auto"/>
        </w:rPr>
      </w:pPr>
    </w:p>
    <w:p>
      <w:pPr>
        <w:ind w:right="140" w:firstLine="419"/>
        <w:spacing w:after="0" w:line="256" w:lineRule="auto"/>
        <w:tabs>
          <w:tab w:leader="none" w:pos="6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Purchaser agree that if any Purchaser elects to participate in the Subsequent Financing, the transaction documents related to the Subsequent Financing shall not include any term or provision whereby such Purchaser shall be required to agree to any restrictions on trading as to any of the Securities purchased hereunder or be required to consent to any amendment to or termination of, or grant any waiver, release or the like under or in connection with, this Agreement, without the prior written consent of such Purchaser. In addition, the Company and the Purchasers agree that, in connection with a Subsequent Financing, the transaction documents related to the Subsequent Financing shall include a requirement for the Company to issue a</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20"/>
          </w:cols>
          <w:pgMar w:left="880" w:top="270" w:right="499" w:bottom="1440" w:gutter="0" w:footer="0" w:header="0"/>
        </w:sectPr>
      </w:pPr>
    </w:p>
    <w:bookmarkStart w:id="68" w:name="page69"/>
    <w:bookmarkEnd w:id="68"/>
    <w:p>
      <w:pPr>
        <w:ind w:left="440"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widely disseminated press release by 9:30 am (New York City time) on the Trading Day of execution of the transaction documents in such Subsequent Financing (or, if the date of execution is not a Trading Day, on the immediately following Trading Day) that discloses the material terms of the transactions contemplated by the transaction documents in such Subsequent Financing.</w:t>
      </w:r>
    </w:p>
    <w:p>
      <w:pPr>
        <w:spacing w:after="0" w:line="68" w:lineRule="exact"/>
        <w:rPr>
          <w:sz w:val="20"/>
          <w:szCs w:val="20"/>
          <w:color w:val="auto"/>
        </w:rPr>
      </w:pPr>
    </w:p>
    <w:p>
      <w:pPr>
        <w:ind w:left="440" w:firstLine="419"/>
        <w:spacing w:after="0" w:line="254" w:lineRule="auto"/>
        <w:tabs>
          <w:tab w:leader="none" w:pos="11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4.12 and unless otherwise agreed to by such Purchaser, the Company shall either confirm in writing to such Purchaser that the transaction with respect to the Subsequent Financing has been abandoned or shall publicly disclose its intention to issue the securities or incur the indebtedness in the Subsequent Financing, in either case in such a manner such that such Purchaser will not be in possession of any material, non-public information, by the fifth (5th) Business Day following delivery of the Subsequent Financing Notice. If by such fifth (5th) Business Day, no public disclosure regarding a transaction with respect to the Subsequent Financing has been made, and no notice regarding the abandonment of such transaction has been received by such Purchaser, such transaction shall be deemed to have been abandoned and such Purchaser shall not be deemed to be in possession of any material, non-public information with respect to the Company or any of its Subsidiaries.</w:t>
      </w:r>
    </w:p>
    <w:p>
      <w:pPr>
        <w:spacing w:after="0" w:line="83" w:lineRule="exact"/>
        <w:rPr>
          <w:rFonts w:ascii="Times New Roman" w:cs="Times New Roman" w:eastAsia="Times New Roman" w:hAnsi="Times New Roman"/>
          <w:sz w:val="18"/>
          <w:szCs w:val="18"/>
          <w:color w:val="auto"/>
        </w:rPr>
      </w:pPr>
    </w:p>
    <w:p>
      <w:pPr>
        <w:ind w:left="440" w:right="60" w:firstLine="419"/>
        <w:spacing w:after="0" w:line="253" w:lineRule="auto"/>
        <w:tabs>
          <w:tab w:leader="none" w:pos="107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4.12 shall not apply in respect of (i) an Exempt Issuance, (ii) any offering, sale or issuance in connection with any “at the market offering” that is or may be established by the Company, (iii) the issuance of non-convertible, non-exchangeable debt or the incurrence of any non-convertible, non-exchangeable indebtedness for borrowed money, and (iv) the issuance of Common Stock or Common Stock Equivalents (other than in the form of convertible or exchangeable indebtedness) in connection with the issuance of debt or the incurrence of indebtedness, provided that (x) such issuance is to the holders or lenders of such debt and that the aggregate number of shares of Common Stock or any securities convertible into or exercisable or exchangeable for Common Stock that the Company may issue or agree to issue pursuant to this clause (iv) shall not exceed 5% of the total outstanding shares of Common Stock immediately prior to the issuance of the Common Stock or Common Stock Equivalents pursuant hereto, (y) any such securities are issued as “restricted securities” (as defined in Rule 144) and carry no registration rights that require the filing of any registration statement in connection therewith during the prohibition period in Section 4.11 herein.</w:t>
      </w:r>
    </w:p>
    <w:p>
      <w:pPr>
        <w:spacing w:after="0" w:line="194"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69" w:name="page70"/>
    <w:bookmarkEnd w:id="69"/>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4.14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4.15 </w:t>
      </w:r>
      <w:r>
        <w:rPr>
          <w:rFonts w:ascii="Times New Roman" w:cs="Times New Roman" w:eastAsia="Times New Roman" w:hAnsi="Times New Roman"/>
          <w:sz w:val="17"/>
          <w:szCs w:val="17"/>
          <w:u w:val="single" w:color="auto"/>
          <w:color w:val="auto"/>
        </w:rPr>
        <w:t>Exercise Procedures</w:t>
      </w:r>
      <w:r>
        <w:rPr>
          <w:rFonts w:ascii="Times New Roman" w:cs="Times New Roman" w:eastAsia="Times New Roman" w:hAnsi="Times New Roman"/>
          <w:sz w:val="17"/>
          <w:szCs w:val="17"/>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68"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(or any substantially similar lock-up agreements signed by transferees of the initial parties to the Lock-Up Agreements) except to extend the term of the lock-up period and shall enforce the provisions of each Lock-Up Agreement (or any substantially similar lock-up agreements signed by transferees of the initial parties to the Lock-Up Agreements) in accordance with its terms. If any party to a Lock-Up Agreement (or any substantially similar lock-up agreements signed by transferees of the initial parties to the Lock-Up Agreements) breaches any provision of such agreement, the Company shall promptly use its best efforts to seek specific performance of the terms of such agreement</w:t>
      </w:r>
      <w:r>
        <w:rPr>
          <w:rFonts w:ascii="Times New Roman" w:cs="Times New Roman" w:eastAsia="Times New Roman" w:hAnsi="Times New Roman"/>
          <w:sz w:val="18"/>
          <w:szCs w:val="18"/>
          <w:u w:val="single" w:color="auto"/>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100" w:firstLine="440"/>
        <w:spacing w:after="0" w:line="23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9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ind w:firstLine="440"/>
        <w:spacing w:after="0" w:line="24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9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66" w:right="439" w:bottom="1440" w:gutter="0" w:footer="0" w:header="0"/>
        </w:sectPr>
      </w:pPr>
    </w:p>
    <w:bookmarkStart w:id="71" w:name="page72"/>
    <w:bookmarkEnd w:id="71"/>
    <w:p>
      <w:pPr>
        <w:ind w:right="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7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72" w:name="page73"/>
    <w:bookmarkEnd w:id="72"/>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73" w:name="page74"/>
    <w:bookmarkEnd w:id="73"/>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Sullivan. Sullivan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74" w:name="page75"/>
    <w:bookmarkEnd w:id="74"/>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5.21 </w:t>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IN ANY ACTION, SUIT, OR PROCEEDING IN ANY JURISDICTION BROUGHT BY ANY PARTY</w:t>
      </w:r>
    </w:p>
    <w:p>
      <w:pPr>
        <w:spacing w:after="0" w:line="4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440" w:top="270" w:right="519" w:bottom="1440" w:gutter="0" w:footer="0" w:header="0"/>
        </w:sectPr>
      </w:pPr>
    </w:p>
    <w:bookmarkStart w:id="75" w:name="page76"/>
    <w:bookmarkEnd w:id="7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HYPERFINE, INC.</w:t>
            </w:r>
          </w:p>
        </w:tc>
        <w:tc>
          <w:tcPr>
            <w:tcW w:w="2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8"/>
              </w:rPr>
              <w:t>Address for Notice:</w:t>
            </w:r>
          </w:p>
        </w:tc>
        <w:tc>
          <w:tcPr>
            <w:tcW w:w="0" w:type="dxa"/>
            <w:vAlign w:val="bottom"/>
          </w:tcPr>
          <w:p>
            <w:pPr>
              <w:spacing w:after="0"/>
              <w:rPr>
                <w:sz w:val="1"/>
                <w:szCs w:val="1"/>
                <w:color w:val="auto"/>
              </w:rPr>
            </w:pPr>
          </w:p>
        </w:tc>
      </w:tr>
      <w:tr>
        <w:trPr>
          <w:trHeight w:val="45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20" w:type="dxa"/>
            <w:vAlign w:val="bottom"/>
          </w:tcPr>
          <w:p>
            <w:pPr>
              <w:spacing w:after="0"/>
              <w:rPr>
                <w:sz w:val="24"/>
                <w:szCs w:val="24"/>
                <w:color w:val="auto"/>
              </w:rPr>
            </w:pPr>
          </w:p>
        </w:tc>
        <w:tc>
          <w:tcPr>
            <w:tcW w:w="142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E-Mail:</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49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20" w:type="dxa"/>
            <w:vAlign w:val="bottom"/>
          </w:tcPr>
          <w:p>
            <w:pPr>
              <w:spacing w:after="0"/>
              <w:rPr>
                <w:sz w:val="16"/>
                <w:szCs w:val="16"/>
                <w:color w:val="auto"/>
              </w:rPr>
            </w:pPr>
          </w:p>
        </w:tc>
        <w:tc>
          <w:tcPr>
            <w:tcW w:w="1420" w:type="dxa"/>
            <w:vAlign w:val="bottom"/>
            <w:tcBorders>
              <w:top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20"/>
          </w:cols>
          <w:pgMar w:left="440" w:top="270" w:right="639" w:bottom="1440" w:gutter="0" w:footer="0" w:header="0"/>
        </w:sectPr>
      </w:pPr>
    </w:p>
    <w:bookmarkStart w:id="76" w:name="page77"/>
    <w:bookmarkEnd w:id="76"/>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Securities Purchase Agreement to be duly executed by their respective authorized signatories as of the date first indicated above.</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17145</wp:posOffset>
            </wp:positionV>
            <wp:extent cx="58718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18415</wp:posOffset>
            </wp:positionV>
            <wp:extent cx="44062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17145</wp:posOffset>
            </wp:positionV>
            <wp:extent cx="53149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17145</wp:posOffset>
            </wp:positionV>
            <wp:extent cx="53149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17145</wp:posOffset>
            </wp:positionV>
            <wp:extent cx="48260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826000" cy="8890"/>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84"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 Shares: __________________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Common Warrant Shares: _____________________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EIN Number: ____________________</w:t>
      </w:r>
    </w:p>
    <w:p>
      <w:pPr>
        <w:spacing w:after="0" w:line="225" w:lineRule="exact"/>
        <w:rPr>
          <w:sz w:val="20"/>
          <w:szCs w:val="20"/>
          <w:color w:val="auto"/>
        </w:rPr>
      </w:pPr>
    </w:p>
    <w:p>
      <w:pPr>
        <w:ind w:left="4" w:hanging="4"/>
        <w:spacing w:after="0" w:line="270" w:lineRule="auto"/>
        <w:tabs>
          <w:tab w:leader="none" w:pos="211" w:val="left"/>
        </w:tabs>
        <w:numPr>
          <w:ilvl w:val="0"/>
          <w:numId w:val="6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first (1st) Trading Day following the date of this Agreement and (iii) any condition to Closing contemplated by this Agreement (but prior to being disregarded by clause</w:t>
      </w:r>
    </w:p>
    <w:p>
      <w:pPr>
        <w:spacing w:after="0" w:line="2" w:lineRule="exact"/>
        <w:rPr>
          <w:rFonts w:ascii="MS PGothic" w:cs="MS PGothic" w:eastAsia="MS PGothic" w:hAnsi="MS PGothic"/>
          <w:sz w:val="17"/>
          <w:szCs w:val="17"/>
          <w:color w:val="auto"/>
        </w:rPr>
      </w:pPr>
    </w:p>
    <w:p>
      <w:pPr>
        <w:ind w:left="4"/>
        <w:spacing w:after="0" w:line="255" w:lineRule="auto"/>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8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4"/>
          </w:cols>
          <w:pgMar w:left="436" w:top="270" w:right="49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Common Warrant</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CLASS A COMMON STOCK PURCHASE WARRANT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HYPERFINE, INC.</w:t>
      </w:r>
    </w:p>
    <w:p>
      <w:pPr>
        <w:sectPr>
          <w:pgSz w:w="11900" w:h="16838" w:orient="portrait"/>
          <w:cols w:equalWidth="0" w:num="1">
            <w:col w:w="11020"/>
          </w:cols>
          <w:pgMar w:left="440" w:top="266"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February 12, 2025</w:t>
      </w:r>
    </w:p>
    <w:p>
      <w:pPr>
        <w:spacing w:after="0" w:line="200" w:lineRule="exact"/>
        <w:rPr>
          <w:sz w:val="20"/>
          <w:szCs w:val="20"/>
          <w:color w:val="auto"/>
        </w:rPr>
      </w:pPr>
    </w:p>
    <w:p>
      <w:pPr>
        <w:sectPr>
          <w:pgSz w:w="11900" w:h="16838" w:orient="portrait"/>
          <w:cols w:equalWidth="0" w:num="2">
            <w:col w:w="7400" w:space="720"/>
            <w:col w:w="2900"/>
          </w:cols>
          <w:pgMar w:left="440" w:top="266" w:right="439" w:bottom="1440" w:gutter="0" w:footer="0" w:header="0"/>
          <w:type w:val="continuous"/>
        </w:sectPr>
      </w:pP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 assigns (the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February 12, 2030 (the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Hyperfine,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______ shares of Class A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(as subject to adjustment hereunder, the</w:t>
      </w:r>
    </w:p>
    <w:p>
      <w:pPr>
        <w:spacing w:after="0" w:line="9" w:lineRule="exact"/>
        <w:rPr>
          <w:sz w:val="20"/>
          <w:szCs w:val="20"/>
          <w:color w:val="auto"/>
        </w:rPr>
      </w:pPr>
    </w:p>
    <w:p>
      <w:pPr>
        <w:ind w:left="980"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73" w:lineRule="exact"/>
        <w:rPr>
          <w:sz w:val="20"/>
          <w:szCs w:val="20"/>
          <w:color w:val="auto"/>
        </w:rPr>
      </w:pPr>
    </w:p>
    <w:p>
      <w:pPr>
        <w:ind w:left="980" w:right="180" w:firstLine="40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February 11, 2025, among the Company and the purchasers signatory thereto.</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4" w:lineRule="auto"/>
        <w:tabs>
          <w:tab w:leader="none" w:pos="10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w:t>
      </w:r>
    </w:p>
    <w:p>
      <w:pPr>
        <w:sectPr>
          <w:pgSz w:w="11900" w:h="16838" w:orient="portrait"/>
          <w:cols w:equalWidth="0" w:num="1">
            <w:col w:w="11020"/>
          </w:cols>
          <w:pgMar w:left="440" w:top="266" w:right="439" w:bottom="1440" w:gutter="0" w:footer="0" w:header="0"/>
          <w:type w:val="continuous"/>
        </w:sectPr>
      </w:pPr>
    </w:p>
    <w:bookmarkStart w:id="78" w:name="page79"/>
    <w:bookmarkEnd w:id="7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8"/>
          <w:szCs w:val="18"/>
          <w:b w:val="1"/>
          <w:bCs w:val="1"/>
          <w:color w:val="auto"/>
        </w:rPr>
        <w:t>The Holder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80" w:lineRule="exact"/>
        <w:rPr>
          <w:sz w:val="20"/>
          <w:szCs w:val="20"/>
          <w:color w:val="auto"/>
        </w:rPr>
      </w:pPr>
    </w:p>
    <w:p>
      <w:pPr>
        <w:ind w:right="300" w:firstLine="419"/>
        <w:spacing w:after="0" w:line="282" w:lineRule="auto"/>
        <w:tabs>
          <w:tab w:leader="none" w:pos="6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$1.33,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120" w:firstLine="419"/>
        <w:spacing w:after="0" w:line="261" w:lineRule="auto"/>
        <w:tabs>
          <w:tab w:leader="none" w:pos="6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85" w:lineRule="exact"/>
        <w:rPr>
          <w:sz w:val="20"/>
          <w:szCs w:val="20"/>
          <w:color w:val="auto"/>
        </w:rPr>
      </w:pPr>
    </w:p>
    <w:p>
      <w:pPr>
        <w:ind w:left="1000" w:hanging="600"/>
        <w:spacing w:after="0" w:line="253" w:lineRule="auto"/>
        <w:tabs>
          <w:tab w:leader="none" w:pos="75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(x) the VWAP on the Trading Day immediately preceding the date of the applicable Notice of Exercise or (y) the Bid Price of the Common Stock on the principal Trading Market as reported by Bloomberg L.P. (“Bloomberg”)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83" w:lineRule="exact"/>
        <w:rPr>
          <w:rFonts w:ascii="Times New Roman" w:cs="Times New Roman" w:eastAsia="Times New Roman" w:hAnsi="Times New Roman"/>
          <w:sz w:val="18"/>
          <w:szCs w:val="18"/>
          <w:color w:val="auto"/>
        </w:rPr>
      </w:pPr>
    </w:p>
    <w:p>
      <w:pPr>
        <w:ind w:left="760" w:hanging="350"/>
        <w:spacing w:after="0"/>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as adjusted hereunder; and</w:t>
      </w:r>
    </w:p>
    <w:p>
      <w:pPr>
        <w:spacing w:after="0" w:line="117" w:lineRule="exact"/>
        <w:rPr>
          <w:sz w:val="20"/>
          <w:szCs w:val="20"/>
          <w:color w:val="auto"/>
        </w:rPr>
      </w:pPr>
    </w:p>
    <w:p>
      <w:pPr>
        <w:ind w:left="1000" w:right="200" w:hanging="600"/>
        <w:spacing w:after="0" w:line="282" w:lineRule="auto"/>
        <w:tabs>
          <w:tab w:leader="none" w:pos="75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ectPr>
          <w:pgSz w:w="11900" w:h="16838" w:orient="portrait"/>
          <w:cols w:equalWidth="0" w:num="1">
            <w:col w:w="10560"/>
          </w:cols>
          <w:pgMar w:left="880" w:top="270" w:right="459" w:bottom="1440" w:gutter="0" w:footer="0" w:header="0"/>
        </w:sectPr>
      </w:pPr>
    </w:p>
    <w:bookmarkStart w:id="79" w:name="page80"/>
    <w:bookmarkEnd w:id="79"/>
    <w:p>
      <w:pPr>
        <w:ind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68" w:lineRule="exact"/>
        <w:rPr>
          <w:sz w:val="20"/>
          <w:szCs w:val="20"/>
          <w:color w:val="auto"/>
        </w:rPr>
      </w:pPr>
    </w:p>
    <w:p>
      <w:pPr>
        <w:ind w:right="10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ind w:firstLine="423"/>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(Eastern time) to 4:02 p.m. (New York City time)), (b) if the OTCQB Venture Market (“</w:t>
      </w:r>
      <w:r>
        <w:rPr>
          <w:rFonts w:ascii="Times New Roman" w:cs="Times New Roman" w:eastAsia="Times New Roman" w:hAnsi="Times New Roman"/>
          <w:sz w:val="17"/>
          <w:szCs w:val="17"/>
          <w:u w:val="single" w:color="auto"/>
          <w:color w:val="auto"/>
        </w:rPr>
        <w:t>OTCQB</w:t>
      </w:r>
      <w:r>
        <w:rPr>
          <w:rFonts w:ascii="Times New Roman" w:cs="Times New Roman" w:eastAsia="Times New Roman" w:hAnsi="Times New Roman"/>
          <w:sz w:val="17"/>
          <w:szCs w:val="17"/>
          <w:color w:val="auto"/>
        </w:rPr>
        <w:t>”) or the OTCQX Best Market (“</w:t>
      </w:r>
      <w:r>
        <w:rPr>
          <w:rFonts w:ascii="Times New Roman" w:cs="Times New Roman" w:eastAsia="Times New Roman" w:hAnsi="Times New Roman"/>
          <w:sz w:val="17"/>
          <w:szCs w:val="17"/>
          <w:u w:val="single" w:color="auto"/>
          <w:color w:val="auto"/>
        </w:rPr>
        <w:t>OTCQX</w:t>
      </w:r>
      <w:r>
        <w:rPr>
          <w:rFonts w:ascii="Times New Roman" w:cs="Times New Roman" w:eastAsia="Times New Roman" w:hAnsi="Times New Roman"/>
          <w:sz w:val="17"/>
          <w:szCs w:val="17"/>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7"/>
          <w:szCs w:val="17"/>
          <w:u w:val="single" w:color="auto"/>
          <w:color w:val="auto"/>
        </w:rPr>
        <w:t>Pink Market</w:t>
      </w:r>
      <w:r>
        <w:rPr>
          <w:rFonts w:ascii="Times New Roman" w:cs="Times New Roman" w:eastAsia="Times New Roman" w:hAnsi="Times New Roman"/>
          <w:sz w:val="17"/>
          <w:szCs w:val="17"/>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ectPr>
          <w:pgSz w:w="11900" w:h="16838" w:orient="portrait"/>
          <w:cols w:equalWidth="0" w:num="1">
            <w:col w:w="10560"/>
          </w:cols>
          <w:pgMar w:left="880" w:top="270" w:right="459" w:bottom="1440" w:gutter="0" w:footer="0" w:header="0"/>
        </w:sectPr>
      </w:pPr>
    </w:p>
    <w:bookmarkStart w:id="80" w:name="page81"/>
    <w:bookmarkEnd w:id="80"/>
    <w:p>
      <w:pPr>
        <w:ind w:left="201" w:hanging="201"/>
        <w:spacing w:after="0"/>
        <w:tabs>
          <w:tab w:leader="none" w:pos="20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firstLine="408"/>
        <w:spacing w:after="0" w:line="261" w:lineRule="auto"/>
        <w:tabs>
          <w:tab w:leader="none" w:pos="66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provided, however that payment of the aggregate Exercise Price, other than in the instance of a cashless exercise) is received by the Company by such date.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Common Stock as in effect on the date of delivery of the Notice of Exercise.</w:t>
      </w:r>
    </w:p>
    <w:p>
      <w:pPr>
        <w:spacing w:after="0" w:line="295" w:lineRule="exact"/>
        <w:rPr>
          <w:rFonts w:ascii="Times New Roman" w:cs="Times New Roman" w:eastAsia="Times New Roman" w:hAnsi="Times New Roman"/>
          <w:sz w:val="17"/>
          <w:szCs w:val="17"/>
          <w:color w:val="auto"/>
        </w:rPr>
      </w:pPr>
    </w:p>
    <w:p>
      <w:pPr>
        <w:ind w:left="121" w:right="80" w:firstLine="408"/>
        <w:spacing w:after="0" w:line="261" w:lineRule="auto"/>
        <w:tabs>
          <w:tab w:leader="none" w:pos="71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ectPr>
          <w:pgSz w:w="11900" w:h="16838" w:orient="portrait"/>
          <w:cols w:equalWidth="0" w:num="1">
            <w:col w:w="10141"/>
          </w:cols>
          <w:pgMar w:left="1299" w:top="270" w:right="459" w:bottom="1440" w:gutter="0" w:footer="0" w:header="0"/>
        </w:sectPr>
      </w:pPr>
    </w:p>
    <w:bookmarkStart w:id="81" w:name="page82"/>
    <w:bookmarkEnd w:id="81"/>
    <w:p>
      <w:pPr>
        <w:ind w:left="-7" w:firstLine="408"/>
        <w:spacing w:after="0" w:line="255" w:lineRule="auto"/>
        <w:tabs>
          <w:tab w:leader="none" w:pos="63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(subject to receipt of the aggregate exercise price for the applicable exercise (other than in the case of a cashless exercise)), then the Holder will have the right to rescind such exercise by delivering written notice to the Company at any time prior to the Company delivering such Warrant Shares; provided, however, that the Holder shall be required to return any Warrant Shares subject to any such rescinded exercise notice concurrently with the return to the Holder of the aggregate Exercise Price paid to the Company for such Warrant Shares and the restoration of Holder’s right to acquire such Warrant Shares pursuant to this Warrant (including issuance of a replacement warrant certificate evidencing such restored right).</w:t>
      </w:r>
    </w:p>
    <w:p>
      <w:pPr>
        <w:spacing w:after="0" w:line="80" w:lineRule="exact"/>
        <w:rPr>
          <w:rFonts w:ascii="Times New Roman" w:cs="Times New Roman" w:eastAsia="Times New Roman" w:hAnsi="Times New Roman"/>
          <w:sz w:val="18"/>
          <w:szCs w:val="18"/>
          <w:color w:val="auto"/>
        </w:rPr>
      </w:pPr>
    </w:p>
    <w:p>
      <w:pPr>
        <w:ind w:left="-7" w:right="60" w:firstLine="408"/>
        <w:spacing w:after="0" w:line="267" w:lineRule="auto"/>
        <w:tabs>
          <w:tab w:leader="none" w:pos="611"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Buy-In on Failure to Timely Deliver Warrant Shares Upon Exercise</w:t>
      </w:r>
      <w:r>
        <w:rPr>
          <w:rFonts w:ascii="Times New Roman" w:cs="Times New Roman" w:eastAsia="Times New Roman" w:hAnsi="Times New Roman"/>
          <w:sz w:val="17"/>
          <w:szCs w:val="17"/>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did not timely deliver, to the Holder in connection with the exercise at issue times (2) the price at which the sell order giving rise to such purchase obligation was executed, and</w:t>
      </w:r>
    </w:p>
    <w:p>
      <w:pPr>
        <w:spacing w:after="0" w:line="5" w:lineRule="exact"/>
        <w:rPr>
          <w:rFonts w:ascii="Times New Roman" w:cs="Times New Roman" w:eastAsia="Times New Roman" w:hAnsi="Times New Roman"/>
          <w:sz w:val="17"/>
          <w:szCs w:val="17"/>
          <w:color w:val="auto"/>
        </w:rPr>
      </w:pPr>
    </w:p>
    <w:p>
      <w:pPr>
        <w:ind w:left="-7" w:right="140" w:firstLine="7"/>
        <w:spacing w:after="0" w:line="251" w:lineRule="auto"/>
        <w:tabs>
          <w:tab w:leader="none" w:pos="27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ectPr>
          <w:pgSz w:w="11900" w:h="16838" w:orient="portrait"/>
          <w:cols w:equalWidth="0" w:num="1">
            <w:col w:w="10013"/>
          </w:cols>
          <w:pgMar w:left="1427" w:top="270" w:right="459" w:bottom="1440" w:gutter="0" w:footer="0" w:header="0"/>
        </w:sectPr>
      </w:pPr>
    </w:p>
    <w:bookmarkStart w:id="82" w:name="page83"/>
    <w:bookmarkEnd w:id="82"/>
    <w:p>
      <w:pPr>
        <w:ind w:left="121" w:right="40" w:firstLine="40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121" w:right="20" w:firstLine="408"/>
        <w:spacing w:after="0" w:line="254" w:lineRule="auto"/>
        <w:tabs>
          <w:tab w:leader="none" w:pos="75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80" w:lineRule="exact"/>
        <w:rPr>
          <w:rFonts w:ascii="Times New Roman" w:cs="Times New Roman" w:eastAsia="Times New Roman" w:hAnsi="Times New Roman"/>
          <w:sz w:val="18"/>
          <w:szCs w:val="18"/>
          <w:color w:val="auto"/>
        </w:rPr>
      </w:pPr>
    </w:p>
    <w:p>
      <w:pPr>
        <w:ind w:left="121" w:right="620" w:firstLine="408"/>
        <w:spacing w:after="0" w:line="282" w:lineRule="auto"/>
        <w:tabs>
          <w:tab w:leader="none" w:pos="80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ind w:left="-419" w:firstLine="419"/>
        <w:spacing w:after="0" w:line="253" w:lineRule="auto"/>
        <w:tabs>
          <w:tab w:leader="none" w:pos="18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and any other Persons whose beneficial ownership of the shares of Common Stock would or could be aggregated with the Holder’s for the purposes of Section 13(d) of the Exchange Act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w:t>
      </w:r>
    </w:p>
    <w:p>
      <w:pPr>
        <w:sectPr>
          <w:pgSz w:w="11900" w:h="16838" w:orient="portrait"/>
          <w:cols w:equalWidth="0" w:num="1">
            <w:col w:w="10141"/>
          </w:cols>
          <w:pgMar w:left="1299" w:top="270" w:right="459" w:bottom="1440" w:gutter="0" w:footer="0" w:header="0"/>
        </w:sectPr>
      </w:pPr>
    </w:p>
    <w:bookmarkStart w:id="83" w:name="page84"/>
    <w:bookmarkEnd w:id="83"/>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(including any determination as to group status pursuant to the next sentence) and shall have no liability for exercises of this Warrant that are not in compliance with the Beneficial Ownership Limitation (other than to the extent that the information on the number of outstanding shares of Common Stock is provided by the Company, either directly or through one or more public filings relied upon by the Holder.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w:t>
      </w:r>
    </w:p>
    <w:p>
      <w:pPr>
        <w:spacing w:after="0" w:line="7" w:lineRule="exact"/>
        <w:rPr>
          <w:sz w:val="20"/>
          <w:szCs w:val="20"/>
          <w:color w:val="auto"/>
        </w:rPr>
      </w:pPr>
    </w:p>
    <w:p>
      <w:pPr>
        <w:ind w:left="4" w:hanging="4"/>
        <w:spacing w:after="0" w:line="241" w:lineRule="auto"/>
        <w:tabs>
          <w:tab w:leader="none" w:pos="28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w:t>
      </w:r>
    </w:p>
    <w:p>
      <w:pPr>
        <w:sectPr>
          <w:pgSz w:w="11900" w:h="16838" w:orient="portrait"/>
          <w:cols w:equalWidth="0" w:num="1">
            <w:col w:w="10564"/>
          </w:cols>
          <w:pgMar w:left="876" w:top="270" w:right="459" w:bottom="1440" w:gutter="0" w:footer="0" w:header="0"/>
        </w:sectPr>
      </w:pPr>
    </w:p>
    <w:bookmarkStart w:id="84" w:name="page85"/>
    <w:bookmarkEnd w:id="84"/>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0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provided that the Exercise Price per share shall in any case be no lower than the par value of the Common Stock.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81" w:lineRule="exact"/>
        <w:rPr>
          <w:rFonts w:ascii="Times New Roman" w:cs="Times New Roman" w:eastAsia="Times New Roman" w:hAnsi="Times New Roman"/>
          <w:sz w:val="18"/>
          <w:szCs w:val="18"/>
          <w:color w:val="auto"/>
        </w:rPr>
      </w:pPr>
    </w:p>
    <w:p>
      <w:pPr>
        <w:ind w:left="620" w:hanging="201"/>
        <w:spacing w:after="0"/>
        <w:tabs>
          <w:tab w:leader="none" w:pos="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419"/>
        <w:spacing w:after="0" w:line="253" w:lineRule="auto"/>
        <w:tabs>
          <w:tab w:leader="none" w:pos="60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ectPr>
          <w:pgSz w:w="11900" w:h="16838" w:orient="portrait"/>
          <w:cols w:equalWidth="0" w:num="1">
            <w:col w:w="10560"/>
          </w:cols>
          <w:pgMar w:left="880" w:top="270" w:right="459" w:bottom="1440" w:gutter="0" w:footer="0" w:header="0"/>
        </w:sectPr>
      </w:pPr>
    </w:p>
    <w:bookmarkStart w:id="85" w:name="page86"/>
    <w:bookmarkEnd w:id="85"/>
    <w:p>
      <w:pPr>
        <w:ind w:left="-419" w:right="40" w:firstLine="419"/>
        <w:spacing w:after="0" w:line="252" w:lineRule="auto"/>
        <w:tabs>
          <w:tab w:leader="none" w:pos="19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89" w:lineRule="exact"/>
        <w:rPr>
          <w:rFonts w:ascii="Times New Roman" w:cs="Times New Roman" w:eastAsia="Times New Roman" w:hAnsi="Times New Roman"/>
          <w:sz w:val="18"/>
          <w:szCs w:val="18"/>
          <w:color w:val="auto"/>
        </w:rPr>
      </w:pPr>
    </w:p>
    <w:p>
      <w:pPr>
        <w:ind w:left="-419" w:firstLine="419"/>
        <w:spacing w:after="0" w:line="253" w:lineRule="auto"/>
        <w:tabs>
          <w:tab w:leader="none" w:pos="18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(other than for the sole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or 50% or more of the voting power of the outstanding common and preferred stock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w:t>
      </w:r>
    </w:p>
    <w:p>
      <w:pPr>
        <w:sectPr>
          <w:pgSz w:w="11900" w:h="16838" w:orient="portrait"/>
          <w:cols w:equalWidth="0" w:num="1">
            <w:col w:w="10141"/>
          </w:cols>
          <w:pgMar w:left="1299" w:top="270" w:right="459" w:bottom="1440" w:gutter="0" w:footer="0" w:header="0"/>
        </w:sectPr>
      </w:pPr>
    </w:p>
    <w:bookmarkStart w:id="86" w:name="page87"/>
    <w:bookmarkEnd w:id="8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another Person or group of Persons whereby such other Person or group acquires 50% or more of the outstanding shares of Common Stock or 50% or more of the voting power of the outstanding common and preferred stock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Fundamental Transaction is not within the Company’s control, including not approved by the Company’s Board of Directors, the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w:t>
      </w:r>
    </w:p>
    <w:p>
      <w:pPr>
        <w:sectPr>
          <w:pgSz w:w="11900" w:h="16838" w:orient="portrait"/>
          <w:cols w:equalWidth="0" w:num="1">
            <w:col w:w="10580"/>
          </w:cols>
          <w:pgMar w:left="880" w:top="270" w:right="439" w:bottom="1440" w:gutter="0" w:footer="0" w:header="0"/>
        </w:sectPr>
      </w:pPr>
    </w:p>
    <w:bookmarkStart w:id="87" w:name="page88"/>
    <w:bookmarkEnd w:id="8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 day volatility, (2) the 100 day volatility or (3) the 365 day volatility, each of clauses (1)-(3) as obtained from the HVT function on Bloomberg (determined utilizing a 365-day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3(e),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w:t>
      </w:r>
    </w:p>
    <w:p>
      <w:pPr>
        <w:sectPr>
          <w:pgSz w:w="11900" w:h="16838" w:orient="portrait"/>
          <w:cols w:equalWidth="0" w:num="1">
            <w:col w:w="10540"/>
          </w:cols>
          <w:pgMar w:left="880" w:top="270" w:right="479" w:bottom="1440" w:gutter="0" w:footer="0" w:header="0"/>
        </w:sectPr>
      </w:pPr>
    </w:p>
    <w:bookmarkStart w:id="88" w:name="page89"/>
    <w:bookmarkEnd w:id="8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 For the further avoidance of doubt, the Holder shall not be entitled to receive more than one of (i) the consideration receivable as a result of such Fundamental Transaction by a holder of the number of shares of Common Stock for which this Warrant is exercisable immediately prior to such Fundamental Transaction, or (ii) the assumption by the Successor Entity of all the obligations of the Company under this Warrant and the option to receive a security of the Successor Entity evidenced by a written instrument substantially similar in form and substance to this Warrant.</w:t>
      </w:r>
    </w:p>
    <w:p>
      <w:pPr>
        <w:spacing w:after="0" w:line="81" w:lineRule="exact"/>
        <w:rPr>
          <w:sz w:val="20"/>
          <w:szCs w:val="20"/>
          <w:color w:val="auto"/>
        </w:rPr>
      </w:pPr>
    </w:p>
    <w:p>
      <w:pPr>
        <w:ind w:right="60" w:firstLine="419"/>
        <w:spacing w:after="0" w:line="266" w:lineRule="auto"/>
        <w:tabs>
          <w:tab w:leader="none" w:pos="58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620" w:hanging="201"/>
        <w:spacing w:after="0"/>
        <w:tabs>
          <w:tab w:leader="none" w:pos="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66" w:lineRule="auto"/>
        <w:tabs>
          <w:tab w:leader="none" w:pos="108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67" w:lineRule="exact"/>
        <w:rPr>
          <w:rFonts w:ascii="Times New Roman" w:cs="Times New Roman" w:eastAsia="Times New Roman" w:hAnsi="Times New Roman"/>
          <w:sz w:val="18"/>
          <w:szCs w:val="18"/>
          <w:color w:val="auto"/>
        </w:rPr>
      </w:pPr>
    </w:p>
    <w:p>
      <w:pPr>
        <w:ind w:left="540" w:firstLine="408"/>
        <w:spacing w:after="0" w:line="253" w:lineRule="auto"/>
        <w:tabs>
          <w:tab w:leader="none" w:pos="113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while the Warrant is outstanding,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any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w:t>
      </w:r>
    </w:p>
    <w:p>
      <w:pPr>
        <w:sectPr>
          <w:pgSz w:w="11900" w:h="16838" w:orient="portrait"/>
          <w:cols w:equalWidth="0" w:num="1">
            <w:col w:w="10560"/>
          </w:cols>
          <w:pgMar w:left="880" w:top="270" w:right="459" w:bottom="1440" w:gutter="0" w:footer="0" w:header="0"/>
        </w:sectPr>
      </w:pPr>
    </w:p>
    <w:bookmarkStart w:id="89" w:name="page90"/>
    <w:bookmarkEnd w:id="89"/>
    <w:p>
      <w:pPr>
        <w:ind w:left="121"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84"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19" w:firstLine="419"/>
        <w:spacing w:after="0" w:line="253" w:lineRule="auto"/>
        <w:tabs>
          <w:tab w:leader="none" w:pos="18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83" w:lineRule="exact"/>
        <w:rPr>
          <w:rFonts w:ascii="Times New Roman" w:cs="Times New Roman" w:eastAsia="Times New Roman" w:hAnsi="Times New Roman"/>
          <w:sz w:val="18"/>
          <w:szCs w:val="18"/>
          <w:color w:val="auto"/>
        </w:rPr>
      </w:pPr>
    </w:p>
    <w:p>
      <w:pPr>
        <w:ind w:left="-419" w:right="20" w:firstLine="419"/>
        <w:spacing w:after="0" w:line="256" w:lineRule="auto"/>
        <w:tabs>
          <w:tab w:leader="none" w:pos="19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ectPr>
          <w:pgSz w:w="11900" w:h="16838" w:orient="portrait"/>
          <w:cols w:equalWidth="0" w:num="1">
            <w:col w:w="10121"/>
          </w:cols>
          <w:pgMar w:left="1299" w:top="270" w:right="479" w:bottom="1440" w:gutter="0" w:footer="0" w:header="0"/>
        </w:sectPr>
      </w:pPr>
    </w:p>
    <w:bookmarkStart w:id="90" w:name="page91"/>
    <w:bookmarkEnd w:id="90"/>
    <w:p>
      <w:pPr>
        <w:ind w:left="-419" w:right="20" w:firstLine="419"/>
        <w:spacing w:after="0" w:line="261" w:lineRule="auto"/>
        <w:tabs>
          <w:tab w:leader="none" w:pos="18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72"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19" w:right="100" w:firstLine="419"/>
        <w:spacing w:after="0" w:line="258" w:lineRule="auto"/>
        <w:tabs>
          <w:tab w:leader="none" w:pos="18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75" w:lineRule="exact"/>
        <w:rPr>
          <w:rFonts w:ascii="Times New Roman" w:cs="Times New Roman" w:eastAsia="Times New Roman" w:hAnsi="Times New Roman"/>
          <w:sz w:val="18"/>
          <w:szCs w:val="18"/>
          <w:color w:val="auto"/>
        </w:rPr>
      </w:pPr>
    </w:p>
    <w:p>
      <w:pPr>
        <w:ind w:left="-419" w:right="180" w:firstLine="419"/>
        <w:spacing w:after="0" w:line="258" w:lineRule="auto"/>
        <w:tabs>
          <w:tab w:leader="none" w:pos="19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left="-419" w:right="240" w:firstLine="419"/>
        <w:spacing w:after="0" w:line="312" w:lineRule="auto"/>
        <w:tabs>
          <w:tab w:leader="none" w:pos="188"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1" w:lineRule="exact"/>
        <w:rPr>
          <w:rFonts w:ascii="Times New Roman" w:cs="Times New Roman" w:eastAsia="Times New Roman" w:hAnsi="Times New Roman"/>
          <w:sz w:val="17"/>
          <w:szCs w:val="17"/>
          <w:color w:val="auto"/>
        </w:rPr>
      </w:pPr>
    </w:p>
    <w:p>
      <w:pPr>
        <w:ind w:left="201" w:hanging="201"/>
        <w:spacing w:after="0"/>
        <w:tabs>
          <w:tab w:leader="none" w:pos="20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1"/>
        <w:spacing w:after="0" w:line="255"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w:t>
      </w:r>
    </w:p>
    <w:p>
      <w:pPr>
        <w:sectPr>
          <w:pgSz w:w="11900" w:h="16838" w:orient="portrait"/>
          <w:cols w:equalWidth="0" w:num="1">
            <w:col w:w="10141"/>
          </w:cols>
          <w:pgMar w:left="1299" w:top="270" w:right="459" w:bottom="1440" w:gutter="0" w:footer="0" w:header="0"/>
        </w:sectPr>
      </w:pPr>
    </w:p>
    <w:bookmarkStart w:id="91" w:name="page92"/>
    <w:bookmarkEnd w:id="91"/>
    <w:p>
      <w:pPr>
        <w:ind w:left="121"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72" w:lineRule="exact"/>
        <w:rPr>
          <w:sz w:val="20"/>
          <w:szCs w:val="20"/>
          <w:color w:val="auto"/>
        </w:rPr>
      </w:pPr>
    </w:p>
    <w:p>
      <w:pPr>
        <w:ind w:left="121" w:firstLine="401"/>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6" w:lineRule="exact"/>
        <w:rPr>
          <w:sz w:val="20"/>
          <w:szCs w:val="20"/>
          <w:color w:val="auto"/>
        </w:rPr>
      </w:pPr>
    </w:p>
    <w:p>
      <w:pPr>
        <w:jc w:val="both"/>
        <w:ind w:left="121" w:right="100" w:firstLine="401"/>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left="-419" w:right="340" w:firstLine="419"/>
        <w:spacing w:after="0" w:line="282" w:lineRule="auto"/>
        <w:tabs>
          <w:tab w:leader="none" w:pos="18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left="-419" w:right="480" w:firstLine="419"/>
        <w:spacing w:after="0" w:line="282" w:lineRule="auto"/>
        <w:tabs>
          <w:tab w:leader="none" w:pos="16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left="-419" w:right="20" w:firstLine="419"/>
        <w:spacing w:after="0" w:line="255" w:lineRule="auto"/>
        <w:tabs>
          <w:tab w:leader="none" w:pos="19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ectPr>
          <w:pgSz w:w="11900" w:h="16838" w:orient="portrait"/>
          <w:cols w:equalWidth="0" w:num="1">
            <w:col w:w="10141"/>
          </w:cols>
          <w:pgMar w:left="1299" w:top="270" w:right="459" w:bottom="1440" w:gutter="0" w:footer="0" w:header="0"/>
        </w:sectPr>
      </w:pPr>
    </w:p>
    <w:bookmarkStart w:id="92" w:name="page93"/>
    <w:bookmarkEnd w:id="92"/>
    <w:p>
      <w:pPr>
        <w:ind w:right="380" w:firstLine="419"/>
        <w:spacing w:after="0" w:line="282" w:lineRule="auto"/>
        <w:tabs>
          <w:tab w:leader="none" w:pos="61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57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57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firstLine="419"/>
        <w:spacing w:after="0" w:line="261" w:lineRule="auto"/>
        <w:tabs>
          <w:tab w:leader="none" w:pos="61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right="40" w:firstLine="419"/>
        <w:spacing w:after="0" w:line="282" w:lineRule="auto"/>
        <w:tabs>
          <w:tab w:leader="none" w:pos="57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 (or the beneficial owner of this Warrant).</w:t>
      </w:r>
    </w:p>
    <w:p>
      <w:pPr>
        <w:spacing w:after="0" w:line="53" w:lineRule="exact"/>
        <w:rPr>
          <w:rFonts w:ascii="Times New Roman" w:cs="Times New Roman" w:eastAsia="Times New Roman" w:hAnsi="Times New Roman"/>
          <w:sz w:val="18"/>
          <w:szCs w:val="18"/>
          <w:color w:val="auto"/>
        </w:rPr>
      </w:pPr>
    </w:p>
    <w:p>
      <w:pPr>
        <w:ind w:right="20" w:firstLine="419"/>
        <w:spacing w:after="0" w:line="266" w:lineRule="auto"/>
        <w:tabs>
          <w:tab w:leader="none" w:pos="66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40" w:firstLine="419"/>
        <w:spacing w:after="0" w:line="282" w:lineRule="auto"/>
        <w:tabs>
          <w:tab w:leader="none" w:pos="61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560"/>
          </w:cols>
          <w:pgMar w:left="880" w:top="270" w:right="459" w:bottom="1440" w:gutter="0" w:footer="0" w:header="0"/>
        </w:sectPr>
      </w:pPr>
    </w:p>
    <w:bookmarkStart w:id="93" w:name="page94"/>
    <w:bookmarkEnd w:id="9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HYPERFINE,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00"/>
          </w:cols>
          <w:pgMar w:left="440" w:top="270" w:right="559" w:bottom="1440" w:gutter="0" w:footer="0" w:header="0"/>
        </w:sectPr>
      </w:pPr>
    </w:p>
    <w:bookmarkStart w:id="94" w:name="page95"/>
    <w:bookmarkEnd w:id="9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HYPERFINE, INC.</w:t>
      </w:r>
    </w:p>
    <w:p>
      <w:pPr>
        <w:spacing w:after="0" w:line="117" w:lineRule="exact"/>
        <w:rPr>
          <w:sz w:val="20"/>
          <w:szCs w:val="20"/>
          <w:color w:val="auto"/>
        </w:rPr>
      </w:pPr>
    </w:p>
    <w:p>
      <w:pPr>
        <w:ind w:firstLine="987"/>
        <w:spacing w:after="0" w:line="282"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117" w:lineRule="exact"/>
        <w:rPr>
          <w:sz w:val="20"/>
          <w:szCs w:val="20"/>
          <w:color w:val="auto"/>
        </w:rPr>
      </w:pPr>
    </w:p>
    <w:p>
      <w:pPr>
        <w:ind w:left="1420" w:right="1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Please issue said Warrant Shares in the name of the undersigned or in such other name as is specified below:</w:t>
      </w:r>
    </w:p>
    <w:p>
      <w:pPr>
        <w:spacing w:after="0" w:line="2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3709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3709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3709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3709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00"/>
          </w:cols>
          <w:pgMar w:left="440" w:top="266" w:right="75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440" w:right="1460"/>
        <w:spacing w:after="0" w:line="517"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(Please Print)</w:t>
            </w:r>
          </w:p>
        </w:tc>
      </w:tr>
      <w:tr>
        <w:trPr>
          <w:trHeight w:val="427"/>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w:t>
            </w:r>
          </w:p>
        </w:tc>
        <w:tc>
          <w:tcPr>
            <w:tcW w:w="26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228"/>
        </w:trPr>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(Please Print)</w:t>
            </w:r>
          </w:p>
        </w:tc>
      </w:tr>
      <w:tr>
        <w:trPr>
          <w:trHeight w:val="427"/>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26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439"/>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26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439"/>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26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59"/>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Holder’s Signature:</w:t>
            </w:r>
          </w:p>
        </w:tc>
        <w:tc>
          <w:tcPr>
            <w:tcW w:w="3640" w:type="dxa"/>
            <w:vAlign w:val="bottom"/>
            <w:tcBorders>
              <w:bottom w:val="single" w:sz="8" w:color="auto"/>
            </w:tcBorders>
          </w:tcPr>
          <w:p>
            <w:pPr>
              <w:spacing w:after="0"/>
              <w:rPr>
                <w:sz w:val="24"/>
                <w:szCs w:val="24"/>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453"/>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w:t>
            </w:r>
          </w:p>
        </w:tc>
        <w:tc>
          <w:tcPr>
            <w:tcW w:w="3740" w:type="dxa"/>
            <w:vAlign w:val="bottom"/>
            <w:tcBorders>
              <w:bottom w:val="single" w:sz="8" w:color="auto"/>
            </w:tcBorders>
            <w:gridSpan w:val="2"/>
          </w:tcPr>
          <w:p>
            <w:pPr>
              <w:spacing w:after="0"/>
              <w:rPr>
                <w:sz w:val="24"/>
                <w:szCs w:val="24"/>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r>
    </w:tbl>
    <w:p>
      <w:pPr>
        <w:sectPr>
          <w:pgSz w:w="11900" w:h="16838" w:orient="portrait"/>
          <w:cols w:equalWidth="0" w:num="1">
            <w:col w:w="11020"/>
          </w:cols>
          <w:pgMar w:left="440" w:top="266" w:right="439" w:bottom="1440" w:gutter="0" w:footer="0" w:header="0"/>
        </w:sectPr>
      </w:pPr>
    </w:p>
    <w:bookmarkStart w:id="96" w:name="page97"/>
    <w:bookmarkEnd w:id="9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 of Pre-Funded Warrant</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PRE-FUNDED CLASS A COMMON STOCK PURCHASE WARRANT</w:t>
      </w: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HYPERFINE, INC.</w:t>
      </w:r>
    </w:p>
    <w:p>
      <w:pPr>
        <w:sectPr>
          <w:pgSz w:w="11900" w:h="16838" w:orient="portrait"/>
          <w:cols w:equalWidth="0" w:num="1">
            <w:col w:w="10960"/>
          </w:cols>
          <w:pgMar w:left="440" w:top="266" w:right="49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 Exercise Date: [•], 2025</w:t>
      </w:r>
    </w:p>
    <w:p>
      <w:pPr>
        <w:spacing w:after="0" w:line="200" w:lineRule="exact"/>
        <w:rPr>
          <w:sz w:val="20"/>
          <w:szCs w:val="20"/>
          <w:color w:val="auto"/>
        </w:rPr>
      </w:pPr>
    </w:p>
    <w:p>
      <w:pPr>
        <w:sectPr>
          <w:pgSz w:w="11900" w:h="16838" w:orient="portrait"/>
          <w:cols w:equalWidth="0" w:num="2">
            <w:col w:w="5020" w:space="720"/>
            <w:col w:w="5220"/>
          </w:cols>
          <w:pgMar w:left="440" w:top="266" w:right="499" w:bottom="1440" w:gutter="0" w:footer="0" w:header="0"/>
          <w:type w:val="continuous"/>
        </w:sectPr>
      </w:pPr>
    </w:p>
    <w:p>
      <w:pPr>
        <w:spacing w:after="0" w:line="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w:t>
      </w:r>
    </w:p>
    <w:p>
      <w:pPr>
        <w:spacing w:after="0" w:line="27" w:lineRule="exact"/>
        <w:rPr>
          <w:sz w:val="20"/>
          <w:szCs w:val="20"/>
          <w:color w:val="auto"/>
        </w:rPr>
      </w:pPr>
    </w:p>
    <w:p>
      <w:pPr>
        <w:ind w:left="980"/>
        <w:spacing w:after="0" w:line="265" w:lineRule="auto"/>
        <w:rPr>
          <w:sz w:val="20"/>
          <w:szCs w:val="20"/>
          <w:color w:val="auto"/>
        </w:rPr>
      </w:pPr>
      <w:r>
        <w:rPr>
          <w:rFonts w:ascii="Times New Roman" w:cs="Times New Roman" w:eastAsia="Times New Roman" w:hAnsi="Times New Roman"/>
          <w:sz w:val="17"/>
          <w:szCs w:val="17"/>
          <w:color w:val="auto"/>
        </w:rPr>
        <w:t>its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until this Warrant is exercised in full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Hyperfine,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of Class A</w:t>
      </w:r>
    </w:p>
    <w:p>
      <w:pPr>
        <w:ind w:left="980" w:right="500"/>
        <w:spacing w:after="0" w:line="290" w:lineRule="auto"/>
        <w:rPr>
          <w:sz w:val="20"/>
          <w:szCs w:val="20"/>
          <w:color w:val="auto"/>
        </w:rPr>
      </w:pPr>
      <w:r>
        <w:rPr>
          <w:rFonts w:ascii="Times New Roman" w:cs="Times New Roman" w:eastAsia="Times New Roman" w:hAnsi="Times New Roman"/>
          <w:sz w:val="17"/>
          <w:szCs w:val="17"/>
          <w:color w:val="auto"/>
        </w:rPr>
        <w:t>common stock, par value $0.0001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(as subject to adjustment hereunder,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The purchase price of one share of Common Stock under this Warrant shall be equal to the Exercise Price, as defined in Section 2(b).</w:t>
      </w:r>
    </w:p>
    <w:p>
      <w:pPr>
        <w:spacing w:after="0" w:line="49" w:lineRule="exact"/>
        <w:rPr>
          <w:sz w:val="20"/>
          <w:szCs w:val="20"/>
          <w:color w:val="auto"/>
        </w:rPr>
      </w:pPr>
    </w:p>
    <w:p>
      <w:pPr>
        <w:ind w:left="980" w:right="100" w:firstLine="40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February [•], 2025, among the Company and the purchasers signatory thereto.</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4" w:lineRule="auto"/>
        <w:tabs>
          <w:tab w:leader="none" w:pos="102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w:t>
      </w:r>
    </w:p>
    <w:p>
      <w:pPr>
        <w:sectPr>
          <w:pgSz w:w="11900" w:h="16838" w:orient="portrait"/>
          <w:cols w:equalWidth="0" w:num="1">
            <w:col w:w="10960"/>
          </w:cols>
          <w:pgMar w:left="440" w:top="266" w:right="499" w:bottom="1440" w:gutter="0" w:footer="0" w:header="0"/>
          <w:type w:val="continuous"/>
        </w:sectPr>
      </w:pPr>
    </w:p>
    <w:bookmarkStart w:id="97" w:name="page98"/>
    <w:bookmarkEnd w:id="9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8"/>
          <w:szCs w:val="18"/>
          <w:b w:val="1"/>
          <w:bCs w:val="1"/>
          <w:color w:val="auto"/>
        </w:rPr>
        <w:t>The Holder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80" w:lineRule="exact"/>
        <w:rPr>
          <w:sz w:val="20"/>
          <w:szCs w:val="20"/>
          <w:color w:val="auto"/>
        </w:rPr>
      </w:pPr>
    </w:p>
    <w:p>
      <w:pPr>
        <w:ind w:right="40" w:firstLine="423"/>
        <w:spacing w:after="0" w:line="25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280" w:firstLine="419"/>
        <w:spacing w:after="0" w:line="282" w:lineRule="auto"/>
        <w:tabs>
          <w:tab w:leader="none" w:pos="6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any time by means of a “cashless exercise” in which the Holder shall be entitled to receive a number of Warrant Shares equal to the quotient obtained by dividing [(A-B) (X)] by (A), where:</w:t>
      </w:r>
    </w:p>
    <w:p>
      <w:pPr>
        <w:spacing w:after="0" w:line="67" w:lineRule="exact"/>
        <w:rPr>
          <w:sz w:val="20"/>
          <w:szCs w:val="20"/>
          <w:color w:val="auto"/>
        </w:rPr>
      </w:pPr>
    </w:p>
    <w:p>
      <w:pPr>
        <w:ind w:left="980" w:right="20" w:hanging="431"/>
        <w:spacing w:after="0" w:line="255" w:lineRule="auto"/>
        <w:rPr>
          <w:sz w:val="20"/>
          <w:szCs w:val="20"/>
          <w:color w:val="auto"/>
        </w:rPr>
      </w:pPr>
      <w:r>
        <w:rPr>
          <w:rFonts w:ascii="Times New Roman" w:cs="Times New Roman" w:eastAsia="Times New Roman" w:hAnsi="Times New Roman"/>
          <w:sz w:val="18"/>
          <w:szCs w:val="18"/>
          <w:color w:val="auto"/>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VWAP on the Trading Day immediately preceding the date of the applicable Notice of Exercise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 = the Exercise Price, as adjusted hereunder; and</w:t>
      </w:r>
    </w:p>
    <w:p>
      <w:pPr>
        <w:spacing w:after="0" w:line="131" w:lineRule="exact"/>
        <w:rPr>
          <w:sz w:val="20"/>
          <w:szCs w:val="20"/>
          <w:color w:val="auto"/>
        </w:rPr>
      </w:pPr>
    </w:p>
    <w:p>
      <w:pPr>
        <w:ind w:left="980" w:right="240" w:hanging="431"/>
        <w:spacing w:after="0" w:line="282" w:lineRule="auto"/>
        <w:rPr>
          <w:sz w:val="20"/>
          <w:szCs w:val="20"/>
          <w:color w:val="auto"/>
        </w:rPr>
      </w:pPr>
      <w:r>
        <w:rPr>
          <w:rFonts w:ascii="Times New Roman" w:cs="Times New Roman" w:eastAsia="Times New Roman" w:hAnsi="Times New Roman"/>
          <w:sz w:val="18"/>
          <w:szCs w:val="18"/>
          <w:color w:val="auto"/>
        </w:rPr>
        <w:t>(X) = the number of Warrant Shares that would be issuable upon exercise of this Warrant in accordance with the terms of this Warrant if such exercise were by means of a cash exercise rather than a cashless exercise.</w:t>
      </w:r>
    </w:p>
    <w:p>
      <w:pPr>
        <w:sectPr>
          <w:pgSz w:w="11900" w:h="16838" w:orient="portrait"/>
          <w:cols w:equalWidth="0" w:num="1">
            <w:col w:w="10560"/>
          </w:cols>
          <w:pgMar w:left="880" w:top="270" w:right="459" w:bottom="1440" w:gutter="0" w:footer="0" w:header="0"/>
        </w:sectPr>
      </w:pPr>
    </w:p>
    <w:bookmarkStart w:id="98" w:name="page99"/>
    <w:bookmarkEnd w:id="98"/>
    <w:p>
      <w:pPr>
        <w:ind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68" w:lineRule="exact"/>
        <w:rPr>
          <w:sz w:val="20"/>
          <w:szCs w:val="20"/>
          <w:color w:val="auto"/>
        </w:rPr>
      </w:pPr>
    </w:p>
    <w:p>
      <w:pPr>
        <w:ind w:right="10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ind w:firstLine="423"/>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(Eastern time) to 4:02 p.m. (New York City time)), (b) if the OTCQB Venture Market (“</w:t>
      </w:r>
      <w:r>
        <w:rPr>
          <w:rFonts w:ascii="Times New Roman" w:cs="Times New Roman" w:eastAsia="Times New Roman" w:hAnsi="Times New Roman"/>
          <w:sz w:val="17"/>
          <w:szCs w:val="17"/>
          <w:u w:val="single" w:color="auto"/>
          <w:color w:val="auto"/>
        </w:rPr>
        <w:t>OTCQB</w:t>
      </w:r>
      <w:r>
        <w:rPr>
          <w:rFonts w:ascii="Times New Roman" w:cs="Times New Roman" w:eastAsia="Times New Roman" w:hAnsi="Times New Roman"/>
          <w:sz w:val="17"/>
          <w:szCs w:val="17"/>
          <w:color w:val="auto"/>
        </w:rPr>
        <w:t>”) or the OTCQX Best Market (“</w:t>
      </w:r>
      <w:r>
        <w:rPr>
          <w:rFonts w:ascii="Times New Roman" w:cs="Times New Roman" w:eastAsia="Times New Roman" w:hAnsi="Times New Roman"/>
          <w:sz w:val="17"/>
          <w:szCs w:val="17"/>
          <w:u w:val="single" w:color="auto"/>
          <w:color w:val="auto"/>
        </w:rPr>
        <w:t>OTCQX</w:t>
      </w:r>
      <w:r>
        <w:rPr>
          <w:rFonts w:ascii="Times New Roman" w:cs="Times New Roman" w:eastAsia="Times New Roman" w:hAnsi="Times New Roman"/>
          <w:sz w:val="17"/>
          <w:szCs w:val="17"/>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7"/>
          <w:szCs w:val="17"/>
          <w:u w:val="single" w:color="auto"/>
          <w:color w:val="auto"/>
        </w:rPr>
        <w:t>Pink Market</w:t>
      </w:r>
      <w:r>
        <w:rPr>
          <w:rFonts w:ascii="Times New Roman" w:cs="Times New Roman" w:eastAsia="Times New Roman" w:hAnsi="Times New Roman"/>
          <w:sz w:val="17"/>
          <w:szCs w:val="17"/>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ectPr>
          <w:pgSz w:w="11900" w:h="16838" w:orient="portrait"/>
          <w:cols w:equalWidth="0" w:num="1">
            <w:col w:w="10560"/>
          </w:cols>
          <w:pgMar w:left="880" w:top="270" w:right="459" w:bottom="1440" w:gutter="0" w:footer="0" w:header="0"/>
        </w:sectPr>
      </w:pPr>
    </w:p>
    <w:bookmarkStart w:id="99" w:name="page100"/>
    <w:bookmarkEnd w:id="99"/>
    <w:p>
      <w:pPr>
        <w:ind w:left="161" w:hanging="161"/>
        <w:spacing w:after="0"/>
        <w:tabs>
          <w:tab w:leader="none" w:pos="16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1" w:firstLine="391"/>
        <w:spacing w:after="0" w:line="251" w:lineRule="auto"/>
        <w:tabs>
          <w:tab w:leader="none" w:pos="127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provided, however, that for purposes of this Section 2, if the Notice of Exercise is delivered after 4:00 p.m. Eastern time, the date of delivery of such Notice of Exercise will be deemed to be the Trading Day following the date on which the Notice of Exercise was delivered, and provided further, that payment of the aggregate Exercise Price (other than in the instance of a cashless exercise) is received by the Company by such date.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and the Exercise Price has been paid in full (other than in the case of a cashless exercise),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ectPr>
          <w:pgSz w:w="11900" w:h="16838" w:orient="portrait"/>
          <w:cols w:equalWidth="0" w:num="1">
            <w:col w:w="10161"/>
          </w:cols>
          <w:pgMar w:left="1299" w:top="270" w:right="439" w:bottom="1440" w:gutter="0" w:footer="0" w:header="0"/>
        </w:sectPr>
      </w:pPr>
    </w:p>
    <w:bookmarkStart w:id="100" w:name="page101"/>
    <w:bookmarkEnd w:id="100"/>
    <w:p>
      <w:pPr>
        <w:ind w:left="420" w:firstLine="391"/>
        <w:spacing w:after="0" w:line="261" w:lineRule="auto"/>
        <w:tabs>
          <w:tab w:leader="none" w:pos="103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71" w:lineRule="exact"/>
        <w:rPr>
          <w:rFonts w:ascii="Times New Roman" w:cs="Times New Roman" w:eastAsia="Times New Roman" w:hAnsi="Times New Roman"/>
          <w:sz w:val="18"/>
          <w:szCs w:val="18"/>
          <w:color w:val="auto"/>
        </w:rPr>
      </w:pPr>
    </w:p>
    <w:p>
      <w:pPr>
        <w:ind w:left="420" w:firstLine="391"/>
        <w:spacing w:after="0" w:line="255" w:lineRule="auto"/>
        <w:tabs>
          <w:tab w:leader="none" w:pos="98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(subject to receipt of the aggregate exercise price for the applicable exercise (other than in the case of a cashless exercise)), then the Holder will have the right to rescind such exercise by delivering written notice to the Company at any time prior to the Company delivering such Warrant Shares; provided, however, that the Holder shall be required to return any Warrant Shares subject to any such rescinded exercise notice concurrently with the return to the Holder of the aggregate Exercise Price paid to the Company for such Warrant Shares and the restoration of the Holder’s right to acquire Warrant Shares pursuant to this Warrant (including issuance of a replacement warrant certificate evidencing such restored right).</w:t>
      </w:r>
    </w:p>
    <w:p>
      <w:pPr>
        <w:spacing w:after="0" w:line="80" w:lineRule="exact"/>
        <w:rPr>
          <w:rFonts w:ascii="Times New Roman" w:cs="Times New Roman" w:eastAsia="Times New Roman" w:hAnsi="Times New Roman"/>
          <w:sz w:val="18"/>
          <w:szCs w:val="18"/>
          <w:color w:val="auto"/>
        </w:rPr>
      </w:pPr>
    </w:p>
    <w:p>
      <w:pPr>
        <w:ind w:left="420" w:firstLine="391"/>
        <w:spacing w:after="0" w:line="252" w:lineRule="auto"/>
        <w:tabs>
          <w:tab w:leader="none" w:pos="103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reasonable and customary brokerage commissions, if any) for the shares of Common Stock so purchased exceeds (y) the amount obtained by multiplying (1) the number of Warrant Shares that the Company was required to deliver, but did not timely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w:t>
      </w:r>
    </w:p>
    <w:p>
      <w:pPr>
        <w:sectPr>
          <w:pgSz w:w="11900" w:h="16838" w:orient="portrait"/>
          <w:cols w:equalWidth="0" w:num="1">
            <w:col w:w="10000"/>
          </w:cols>
          <w:pgMar w:left="1440" w:top="270" w:right="459" w:bottom="1440" w:gutter="0" w:footer="0" w:header="0"/>
        </w:sectPr>
      </w:pPr>
    </w:p>
    <w:bookmarkStart w:id="101" w:name="page102"/>
    <w:bookmarkEnd w:id="101"/>
    <w:p>
      <w:pPr>
        <w:ind w:left="561"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75" w:lineRule="exact"/>
        <w:rPr>
          <w:sz w:val="20"/>
          <w:szCs w:val="20"/>
          <w:color w:val="auto"/>
        </w:rPr>
      </w:pPr>
    </w:p>
    <w:p>
      <w:pPr>
        <w:ind w:left="561" w:right="80" w:firstLine="391"/>
        <w:spacing w:after="0" w:line="261" w:lineRule="auto"/>
        <w:tabs>
          <w:tab w:leader="none" w:pos="122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1" w:lineRule="exact"/>
        <w:rPr>
          <w:rFonts w:ascii="Times New Roman" w:cs="Times New Roman" w:eastAsia="Times New Roman" w:hAnsi="Times New Roman"/>
          <w:sz w:val="18"/>
          <w:szCs w:val="18"/>
          <w:color w:val="auto"/>
        </w:rPr>
      </w:pPr>
    </w:p>
    <w:p>
      <w:pPr>
        <w:ind w:left="561" w:right="20" w:firstLine="391"/>
        <w:spacing w:after="0" w:line="254" w:lineRule="auto"/>
        <w:tabs>
          <w:tab w:leader="none" w:pos="127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80" w:lineRule="exact"/>
        <w:rPr>
          <w:rFonts w:ascii="Times New Roman" w:cs="Times New Roman" w:eastAsia="Times New Roman" w:hAnsi="Times New Roman"/>
          <w:sz w:val="18"/>
          <w:szCs w:val="18"/>
          <w:color w:val="auto"/>
        </w:rPr>
      </w:pPr>
    </w:p>
    <w:p>
      <w:pPr>
        <w:ind w:left="561" w:right="160" w:firstLine="391"/>
        <w:spacing w:after="0" w:line="282" w:lineRule="auto"/>
        <w:tabs>
          <w:tab w:leader="none" w:pos="125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ind w:left="-419" w:firstLine="419"/>
        <w:spacing w:after="0" w:line="256" w:lineRule="auto"/>
        <w:tabs>
          <w:tab w:leader="none" w:pos="15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(except as contemplated in this Section 3(e)),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w:t>
      </w:r>
    </w:p>
    <w:p>
      <w:pPr>
        <w:sectPr>
          <w:pgSz w:w="11900" w:h="16838" w:orient="portrait"/>
          <w:cols w:equalWidth="0" w:num="1">
            <w:col w:w="10141"/>
          </w:cols>
          <w:pgMar w:left="1299" w:top="270" w:right="459" w:bottom="1440" w:gutter="0" w:footer="0" w:header="0"/>
        </w:sectPr>
      </w:pPr>
    </w:p>
    <w:bookmarkStart w:id="102" w:name="page103"/>
    <w:bookmarkEnd w:id="102"/>
    <w:p>
      <w:pPr>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(including any determination as to group status pursuant to the next sentence) and shall have no liability for exercises of this Warrant that are not in compliance with the Beneficial Ownership Limitation (other than to the extent that the information on the number of outstanding shares of Common Sctock is provided by the Company, either directly or through one or more public filings relied upon by the Holder.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(or, at the election of the Holder prior to the issuance of this Warrant, 9.99%) of the number of shares of Common Stock outstanding immediately after giving effect to the issuance of shares of Common Stock issuable upon exercise of this Warrant. The Holder, upon notice to the Company, may</w:t>
      </w:r>
    </w:p>
    <w:p>
      <w:pPr>
        <w:sectPr>
          <w:pgSz w:w="11900" w:h="16838" w:orient="portrait"/>
          <w:cols w:equalWidth="0" w:num="1">
            <w:col w:w="10540"/>
          </w:cols>
          <w:pgMar w:left="860" w:top="270" w:right="499" w:bottom="1440" w:gutter="0" w:footer="0" w:header="0"/>
        </w:sectPr>
      </w:pPr>
    </w:p>
    <w:bookmarkStart w:id="103" w:name="page104"/>
    <w:bookmarkEnd w:id="103"/>
    <w:p>
      <w:pPr>
        <w:ind w:right="80"/>
        <w:spacing w:after="0" w:line="23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9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419"/>
        <w:spacing w:after="0" w:line="253" w:lineRule="auto"/>
        <w:tabs>
          <w:tab w:leader="none" w:pos="63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provided that the Exercise Price per share shall in any case be no lower than the par value of the Common Stock.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81" w:lineRule="exact"/>
        <w:rPr>
          <w:rFonts w:ascii="Times New Roman" w:cs="Times New Roman" w:eastAsia="Times New Roman" w:hAnsi="Times New Roman"/>
          <w:sz w:val="18"/>
          <w:szCs w:val="18"/>
          <w:color w:val="auto"/>
        </w:rPr>
      </w:pPr>
    </w:p>
    <w:p>
      <w:pPr>
        <w:ind w:left="600" w:hanging="161"/>
        <w:spacing w:after="0"/>
        <w:tabs>
          <w:tab w:leader="none" w:pos="6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140" w:firstLine="419"/>
        <w:spacing w:after="0" w:line="256" w:lineRule="auto"/>
        <w:tabs>
          <w:tab w:leader="none" w:pos="59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w:t>
      </w:r>
    </w:p>
    <w:p>
      <w:pPr>
        <w:sectPr>
          <w:pgSz w:w="11900" w:h="16838" w:orient="portrait"/>
          <w:cols w:equalWidth="0" w:num="1">
            <w:col w:w="10580"/>
          </w:cols>
          <w:pgMar w:left="860" w:top="270" w:right="459" w:bottom="1440" w:gutter="0" w:footer="0" w:header="0"/>
        </w:sectPr>
      </w:pPr>
    </w:p>
    <w:bookmarkStart w:id="104" w:name="page105"/>
    <w:bookmarkEnd w:id="10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79" w:lineRule="exact"/>
        <w:rPr>
          <w:sz w:val="20"/>
          <w:szCs w:val="20"/>
          <w:color w:val="auto"/>
        </w:rPr>
      </w:pPr>
    </w:p>
    <w:p>
      <w:pPr>
        <w:ind w:firstLine="419"/>
        <w:spacing w:after="0" w:line="252" w:lineRule="auto"/>
        <w:tabs>
          <w:tab w:leader="none" w:pos="6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w:t>
      </w:r>
      <w:r>
        <w:rPr>
          <w:rFonts w:ascii="Times New Roman" w:cs="Times New Roman" w:eastAsia="Times New Roman" w:hAnsi="Times New Roman"/>
          <w:sz w:val="18"/>
          <w:szCs w:val="18"/>
          <w:u w:val="single" w:color="auto"/>
          <w:color w:val="auto"/>
        </w:rPr>
        <w:t>To the extent that this Warrant has not been partially or completely exercised at the time of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Distribution, such portion of the Distribution shall be held in abeyance for the benefit of the Holder until the Holder has exercised this Warrant.</w:t>
      </w:r>
    </w:p>
    <w:p>
      <w:pPr>
        <w:spacing w:after="0" w:line="89" w:lineRule="exact"/>
        <w:rPr>
          <w:rFonts w:ascii="Times New Roman" w:cs="Times New Roman" w:eastAsia="Times New Roman" w:hAnsi="Times New Roman"/>
          <w:sz w:val="18"/>
          <w:szCs w:val="18"/>
          <w:color w:val="auto"/>
        </w:rPr>
      </w:pPr>
    </w:p>
    <w:p>
      <w:pPr>
        <w:ind w:right="60" w:firstLine="419"/>
        <w:spacing w:after="0" w:line="254" w:lineRule="auto"/>
        <w:tabs>
          <w:tab w:leader="none" w:pos="57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(other than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voting power of the outstanding common and preferred stock of the Company, (iv) the Company,</w:t>
      </w:r>
    </w:p>
    <w:p>
      <w:pPr>
        <w:sectPr>
          <w:pgSz w:w="11900" w:h="16838" w:orient="portrait"/>
          <w:cols w:equalWidth="0" w:num="1">
            <w:col w:w="10520"/>
          </w:cols>
          <w:pgMar w:left="880" w:top="270" w:right="499" w:bottom="1440" w:gutter="0" w:footer="0" w:header="0"/>
        </w:sectPr>
      </w:pPr>
    </w:p>
    <w:bookmarkStart w:id="105" w:name="page106"/>
    <w:bookmarkEnd w:id="10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voting power of the outstanding common and preferred stock of the Company (not including any shares of Common Stock held by the other Person or Persons making or party to, or associated or affiliated with the other Persons marking or party, such stock or share purchase agreement or other business combination) (each a “</w:t>
      </w:r>
      <w:r>
        <w:rPr>
          <w:rFonts w:ascii="Times New Roman" w:cs="Times New Roman" w:eastAsia="Times New Roman" w:hAnsi="Times New Roman"/>
          <w:sz w:val="18"/>
          <w:szCs w:val="18"/>
          <w:u w:val="single" w:color="auto"/>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w:t>
      </w:r>
    </w:p>
    <w:p>
      <w:pPr>
        <w:sectPr>
          <w:pgSz w:w="11900" w:h="16838" w:orient="portrait"/>
          <w:cols w:equalWidth="0" w:num="1">
            <w:col w:w="10560"/>
          </w:cols>
          <w:pgMar w:left="880" w:top="270" w:right="459" w:bottom="1440" w:gutter="0" w:footer="0" w:header="0"/>
        </w:sectPr>
      </w:pPr>
    </w:p>
    <w:bookmarkStart w:id="106" w:name="page107"/>
    <w:bookmarkEnd w:id="106"/>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 For the further avoidance of doubt, the Holder shall not be entitled to receive more than one of (i) the consideration receivable as a result of such Fundamental Transaction by a holder of the number of shares of Common Stock for which this Warrant is exercisable immediately prior to such Fundamental Transaction, or</w:t>
      </w:r>
    </w:p>
    <w:p>
      <w:pPr>
        <w:spacing w:after="0" w:line="2" w:lineRule="exact"/>
        <w:rPr>
          <w:sz w:val="20"/>
          <w:szCs w:val="20"/>
          <w:color w:val="auto"/>
        </w:rPr>
      </w:pPr>
    </w:p>
    <w:p>
      <w:pPr>
        <w:ind w:left="4" w:right="360" w:hanging="4"/>
        <w:spacing w:after="0" w:line="260" w:lineRule="auto"/>
        <w:tabs>
          <w:tab w:leader="none" w:pos="26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by the Successor Entity of all the obligations of the Company under this Warrant and the option to receive a security of the Successor Entity evidenced by a written instrument substantially similar in form and substance to this Warrant.</w:t>
      </w:r>
    </w:p>
    <w:p>
      <w:pPr>
        <w:spacing w:after="0" w:line="73" w:lineRule="exact"/>
        <w:rPr>
          <w:rFonts w:ascii="Times New Roman" w:cs="Times New Roman" w:eastAsia="Times New Roman" w:hAnsi="Times New Roman"/>
          <w:sz w:val="18"/>
          <w:szCs w:val="18"/>
          <w:color w:val="auto"/>
        </w:rPr>
      </w:pPr>
    </w:p>
    <w:p>
      <w:pPr>
        <w:jc w:val="both"/>
        <w:ind w:left="4" w:right="80" w:firstLine="419"/>
        <w:spacing w:after="0" w:line="266" w:lineRule="auto"/>
        <w:tabs>
          <w:tab w:leader="none" w:pos="67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624" w:hanging="201"/>
        <w:spacing w:after="0"/>
        <w:tabs>
          <w:tab w:leader="none" w:pos="62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4" w:right="480" w:firstLine="391"/>
        <w:spacing w:after="0" w:line="289" w:lineRule="auto"/>
        <w:tabs>
          <w:tab w:leader="none" w:pos="1507" w:val="left"/>
        </w:tabs>
        <w:numPr>
          <w:ilvl w:val="2"/>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49" w:lineRule="exact"/>
        <w:rPr>
          <w:rFonts w:ascii="Times New Roman" w:cs="Times New Roman" w:eastAsia="Times New Roman" w:hAnsi="Times New Roman"/>
          <w:sz w:val="17"/>
          <w:szCs w:val="17"/>
          <w:color w:val="auto"/>
        </w:rPr>
      </w:pPr>
    </w:p>
    <w:p>
      <w:pPr>
        <w:ind w:left="984" w:right="20" w:firstLine="391"/>
        <w:spacing w:after="0" w:line="258" w:lineRule="auto"/>
        <w:tabs>
          <w:tab w:leader="none" w:pos="1557"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while the Warrant is outstanding,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w:t>
      </w:r>
    </w:p>
    <w:p>
      <w:pPr>
        <w:sectPr>
          <w:pgSz w:w="11900" w:h="16838" w:orient="portrait"/>
          <w:cols w:equalWidth="0" w:num="1">
            <w:col w:w="10584"/>
          </w:cols>
          <w:pgMar w:left="876" w:top="270" w:right="439" w:bottom="1440" w:gutter="0" w:footer="0" w:header="0"/>
        </w:sectPr>
      </w:pPr>
    </w:p>
    <w:bookmarkStart w:id="107" w:name="page108"/>
    <w:bookmarkEnd w:id="107"/>
    <w:p>
      <w:pPr>
        <w:ind w:left="561"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85"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19" w:firstLine="419"/>
        <w:spacing w:after="0" w:line="253" w:lineRule="auto"/>
        <w:tabs>
          <w:tab w:leader="none" w:pos="19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ectPr>
          <w:pgSz w:w="11900" w:h="16838" w:orient="portrait"/>
          <w:cols w:equalWidth="0" w:num="1">
            <w:col w:w="10121"/>
          </w:cols>
          <w:pgMar w:left="1299" w:top="270" w:right="479" w:bottom="1440" w:gutter="0" w:footer="0" w:header="0"/>
        </w:sectPr>
      </w:pPr>
    </w:p>
    <w:bookmarkStart w:id="108" w:name="page109"/>
    <w:bookmarkEnd w:id="108"/>
    <w:p>
      <w:pPr>
        <w:ind w:left="-419" w:firstLine="419"/>
        <w:spacing w:after="0" w:line="256" w:lineRule="auto"/>
        <w:tabs>
          <w:tab w:leader="none" w:pos="18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left="-419" w:firstLine="419"/>
        <w:spacing w:after="0" w:line="261" w:lineRule="auto"/>
        <w:tabs>
          <w:tab w:leader="none" w:pos="16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72"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19" w:right="40" w:firstLine="419"/>
        <w:spacing w:after="0" w:line="258" w:lineRule="auto"/>
        <w:tabs>
          <w:tab w:leader="none" w:pos="19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75" w:lineRule="exact"/>
        <w:rPr>
          <w:rFonts w:ascii="Times New Roman" w:cs="Times New Roman" w:eastAsia="Times New Roman" w:hAnsi="Times New Roman"/>
          <w:sz w:val="18"/>
          <w:szCs w:val="18"/>
          <w:color w:val="auto"/>
        </w:rPr>
      </w:pPr>
    </w:p>
    <w:p>
      <w:pPr>
        <w:ind w:left="-419" w:right="140" w:firstLine="419"/>
        <w:spacing w:after="0" w:line="258" w:lineRule="auto"/>
        <w:tabs>
          <w:tab w:leader="none" w:pos="19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left="-419" w:right="200" w:firstLine="419"/>
        <w:spacing w:after="0" w:line="312" w:lineRule="auto"/>
        <w:tabs>
          <w:tab w:leader="none" w:pos="198"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1" w:lineRule="exact"/>
        <w:rPr>
          <w:rFonts w:ascii="Times New Roman" w:cs="Times New Roman" w:eastAsia="Times New Roman" w:hAnsi="Times New Roman"/>
          <w:sz w:val="17"/>
          <w:szCs w:val="17"/>
          <w:color w:val="auto"/>
        </w:rPr>
      </w:pPr>
    </w:p>
    <w:p>
      <w:pPr>
        <w:ind w:left="161" w:hanging="161"/>
        <w:spacing w:after="0"/>
        <w:tabs>
          <w:tab w:leader="none" w:pos="16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ectPr>
          <w:pgSz w:w="11900" w:h="16838" w:orient="portrait"/>
          <w:cols w:equalWidth="0" w:num="1">
            <w:col w:w="10101"/>
          </w:cols>
          <w:pgMar w:left="1299" w:top="270" w:right="499" w:bottom="1440" w:gutter="0" w:footer="0" w:header="0"/>
        </w:sectPr>
      </w:pPr>
    </w:p>
    <w:bookmarkStart w:id="109" w:name="page110"/>
    <w:bookmarkEnd w:id="109"/>
    <w:p>
      <w:pPr>
        <w:ind w:left="121" w:right="20" w:firstLine="40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6" w:lineRule="exact"/>
        <w:rPr>
          <w:sz w:val="20"/>
          <w:szCs w:val="20"/>
          <w:color w:val="auto"/>
        </w:rPr>
      </w:pPr>
    </w:p>
    <w:p>
      <w:pPr>
        <w:ind w:left="121" w:firstLine="401"/>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6" w:lineRule="exact"/>
        <w:rPr>
          <w:sz w:val="20"/>
          <w:szCs w:val="20"/>
          <w:color w:val="auto"/>
        </w:rPr>
      </w:pPr>
    </w:p>
    <w:p>
      <w:pPr>
        <w:jc w:val="both"/>
        <w:ind w:left="121" w:right="100" w:firstLine="401"/>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left="-419" w:right="340" w:firstLine="419"/>
        <w:spacing w:after="0" w:line="282" w:lineRule="auto"/>
        <w:tabs>
          <w:tab w:leader="none" w:pos="17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ectPr>
          <w:pgSz w:w="11900" w:h="16838" w:orient="portrait"/>
          <w:cols w:equalWidth="0" w:num="1">
            <w:col w:w="10141"/>
          </w:cols>
          <w:pgMar w:left="1299" w:top="270" w:right="459" w:bottom="1440" w:gutter="0" w:footer="0" w:header="0"/>
        </w:sectPr>
      </w:pPr>
    </w:p>
    <w:bookmarkStart w:id="110" w:name="page111"/>
    <w:bookmarkEnd w:id="110"/>
    <w:p>
      <w:pPr>
        <w:ind w:left="-419" w:right="500" w:firstLine="419"/>
        <w:spacing w:after="0" w:line="282" w:lineRule="auto"/>
        <w:tabs>
          <w:tab w:leader="none" w:pos="15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left="-419" w:right="20" w:firstLine="419"/>
        <w:spacing w:after="0" w:line="255" w:lineRule="auto"/>
        <w:tabs>
          <w:tab w:leader="none" w:pos="19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80" w:lineRule="exact"/>
        <w:rPr>
          <w:rFonts w:ascii="Times New Roman" w:cs="Times New Roman" w:eastAsia="Times New Roman" w:hAnsi="Times New Roman"/>
          <w:sz w:val="18"/>
          <w:szCs w:val="18"/>
          <w:color w:val="auto"/>
        </w:rPr>
      </w:pPr>
    </w:p>
    <w:p>
      <w:pPr>
        <w:ind w:left="-419" w:right="380" w:firstLine="419"/>
        <w:spacing w:after="0" w:line="282" w:lineRule="auto"/>
        <w:tabs>
          <w:tab w:leader="none" w:pos="19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left="-419" w:right="160" w:firstLine="419"/>
        <w:spacing w:after="0" w:line="261" w:lineRule="auto"/>
        <w:tabs>
          <w:tab w:leader="none" w:pos="23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left="-419" w:firstLine="419"/>
        <w:spacing w:after="0" w:line="261" w:lineRule="auto"/>
        <w:tabs>
          <w:tab w:leader="none" w:pos="19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left="-419" w:firstLine="419"/>
        <w:spacing w:after="0" w:line="261" w:lineRule="auto"/>
        <w:tabs>
          <w:tab w:leader="none" w:pos="19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left="-419" w:right="20" w:firstLine="419"/>
        <w:spacing w:after="0" w:line="282" w:lineRule="auto"/>
        <w:tabs>
          <w:tab w:leader="none" w:pos="18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 (or the beneficial owner of this Warrant).</w:t>
      </w:r>
    </w:p>
    <w:p>
      <w:pPr>
        <w:sectPr>
          <w:pgSz w:w="11900" w:h="16838" w:orient="portrait"/>
          <w:cols w:equalWidth="0" w:num="1">
            <w:col w:w="10141"/>
          </w:cols>
          <w:pgMar w:left="1299" w:top="270" w:right="459" w:bottom="1440" w:gutter="0" w:footer="0" w:header="0"/>
        </w:sectPr>
      </w:pPr>
    </w:p>
    <w:bookmarkStart w:id="111" w:name="page112"/>
    <w:bookmarkEnd w:id="111"/>
    <w:p>
      <w:pPr>
        <w:ind w:firstLine="419"/>
        <w:spacing w:after="0" w:line="266" w:lineRule="auto"/>
        <w:tabs>
          <w:tab w:leader="none" w:pos="68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120" w:firstLine="419"/>
        <w:spacing w:after="0" w:line="282" w:lineRule="auto"/>
        <w:tabs>
          <w:tab w:leader="none" w:pos="7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540"/>
          </w:cols>
          <w:pgMar w:left="880" w:top="270" w:right="479" w:bottom="1440" w:gutter="0" w:footer="0" w:header="0"/>
        </w:sectPr>
      </w:pPr>
    </w:p>
    <w:bookmarkStart w:id="112" w:name="page113"/>
    <w:bookmarkEnd w:id="11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HYPERFINE,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00"/>
          </w:cols>
          <w:pgMar w:left="440" w:top="270" w:right="559" w:bottom="1440" w:gutter="0" w:footer="0" w:header="0"/>
        </w:sectPr>
      </w:pPr>
    </w:p>
    <w:bookmarkStart w:id="113" w:name="page114"/>
    <w:bookmarkEnd w:id="11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EXERCISE</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HYPERFINE, INC.</w:t>
      </w:r>
    </w:p>
    <w:p>
      <w:pPr>
        <w:spacing w:after="0" w:line="117" w:lineRule="exact"/>
        <w:rPr>
          <w:sz w:val="20"/>
          <w:szCs w:val="20"/>
          <w:color w:val="auto"/>
        </w:rPr>
      </w:pPr>
    </w:p>
    <w:p>
      <w:pPr>
        <w:ind w:firstLine="987"/>
        <w:spacing w:after="0" w:line="282"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ectPr>
          <w:pgSz w:w="11900" w:h="16838" w:orient="portrait"/>
          <w:cols w:equalWidth="0" w:num="1">
            <w:col w:w="10700"/>
          </w:cols>
          <w:pgMar w:left="440" w:top="266" w:right="759" w:bottom="1440" w:gutter="0" w:footer="0" w:header="0"/>
        </w:sectPr>
      </w:pP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9"/>
          <w:szCs w:val="9"/>
          <w:color w:val="auto"/>
        </w:rPr>
        <w:t>[ 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 lawful money of the United States; or</w:t>
      </w:r>
    </w:p>
    <w:p>
      <w:pPr>
        <w:spacing w:after="0" w:line="129" w:lineRule="exact"/>
        <w:rPr>
          <w:sz w:val="20"/>
          <w:szCs w:val="20"/>
          <w:color w:val="auto"/>
        </w:rPr>
      </w:pPr>
    </w:p>
    <w:p>
      <w:pPr>
        <w:sectPr>
          <w:pgSz w:w="11900" w:h="16838" w:orient="portrait"/>
          <w:cols w:equalWidth="0" w:num="2">
            <w:col w:w="1540" w:space="120"/>
            <w:col w:w="9040"/>
          </w:cols>
          <w:pgMar w:left="440" w:top="266" w:right="7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7"/>
          <w:szCs w:val="17"/>
          <w:color w:val="auto"/>
        </w:rPr>
        <w:t>[   ] if permitted the cancellation of such number of Warrant Shares as is necessary, in accordance with the formula set forth in</w:t>
      </w:r>
    </w:p>
    <w:p>
      <w:pPr>
        <w:sectPr>
          <w:pgSz w:w="11900" w:h="16838" w:orient="portrait"/>
          <w:cols w:equalWidth="0" w:num="1">
            <w:col w:w="10700"/>
          </w:cols>
          <w:pgMar w:left="440" w:top="266" w:right="759" w:bottom="1440" w:gutter="0" w:footer="0" w:header="0"/>
          <w:type w:val="continuous"/>
        </w:sectPr>
      </w:pPr>
    </w:p>
    <w:p>
      <w:pPr>
        <w:spacing w:after="0" w:line="39" w:lineRule="exact"/>
        <w:rPr>
          <w:sz w:val="20"/>
          <w:szCs w:val="20"/>
          <w:color w:val="auto"/>
        </w:rPr>
      </w:pPr>
    </w:p>
    <w:p>
      <w:pPr>
        <w:ind w:left="1420" w:right="300"/>
        <w:spacing w:after="0" w:line="260" w:lineRule="auto"/>
        <w:rPr>
          <w:sz w:val="20"/>
          <w:szCs w:val="20"/>
          <w:color w:val="auto"/>
        </w:rPr>
      </w:pPr>
      <w:r>
        <w:rPr>
          <w:rFonts w:ascii="Times New Roman" w:cs="Times New Roman" w:eastAsia="Times New Roman" w:hAnsi="Times New Roman"/>
          <w:sz w:val="18"/>
          <w:szCs w:val="18"/>
          <w:color w:val="auto"/>
        </w:rPr>
        <w:t>subsection 2(c), to exercise this Warrant with respect to the maximum number of Warrant Shares purchasable pursuant to the cashless exercise procedure set forth in subsection 2(c).</w:t>
      </w:r>
    </w:p>
    <w:p>
      <w:pPr>
        <w:spacing w:after="0" w:line="181" w:lineRule="exact"/>
        <w:rPr>
          <w:sz w:val="20"/>
          <w:szCs w:val="20"/>
          <w:color w:val="auto"/>
        </w:rPr>
      </w:pPr>
    </w:p>
    <w:p>
      <w:pPr>
        <w:ind w:left="1240" w:hanging="253"/>
        <w:spacing w:after="0"/>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-273685</wp:posOffset>
            </wp:positionV>
            <wp:extent cx="23056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05685" cy="825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308610</wp:posOffset>
            </wp:positionV>
            <wp:extent cx="23056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305685" cy="825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600075</wp:posOffset>
            </wp:positionV>
            <wp:extent cx="23056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05685" cy="8890"/>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891540</wp:posOffset>
            </wp:positionV>
            <wp:extent cx="23056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00"/>
          </w:cols>
          <w:pgMar w:left="440" w:top="266" w:right="759" w:bottom="1440" w:gutter="0" w:footer="0" w:header="0"/>
          <w:type w:val="continuous"/>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119" w:lineRule="exact"/>
        <w:rPr>
          <w:sz w:val="20"/>
          <w:szCs w:val="20"/>
          <w:color w:val="auto"/>
        </w:rPr>
      </w:pPr>
    </w:p>
    <w:p>
      <w:pPr>
        <w:ind w:left="440" w:right="1460"/>
        <w:spacing w:after="0" w:line="409"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(Please Print)</w:t>
            </w:r>
          </w:p>
        </w:tc>
      </w:tr>
      <w:tr>
        <w:trPr>
          <w:trHeight w:val="427"/>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w:t>
            </w:r>
          </w:p>
        </w:tc>
        <w:tc>
          <w:tcPr>
            <w:tcW w:w="26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228"/>
        </w:trPr>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(Please Print)</w:t>
            </w:r>
          </w:p>
        </w:tc>
      </w:tr>
      <w:tr>
        <w:trPr>
          <w:trHeight w:val="427"/>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26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439"/>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26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439"/>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26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59"/>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Holder’s Signature:</w:t>
            </w:r>
          </w:p>
        </w:tc>
        <w:tc>
          <w:tcPr>
            <w:tcW w:w="3640" w:type="dxa"/>
            <w:vAlign w:val="bottom"/>
            <w:tcBorders>
              <w:bottom w:val="single" w:sz="8" w:color="auto"/>
            </w:tcBorders>
          </w:tcPr>
          <w:p>
            <w:pPr>
              <w:spacing w:after="0"/>
              <w:rPr>
                <w:sz w:val="24"/>
                <w:szCs w:val="24"/>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453"/>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w:t>
            </w:r>
          </w:p>
        </w:tc>
        <w:tc>
          <w:tcPr>
            <w:tcW w:w="3740" w:type="dxa"/>
            <w:vAlign w:val="bottom"/>
            <w:tcBorders>
              <w:bottom w:val="single" w:sz="8" w:color="auto"/>
            </w:tcBorders>
            <w:gridSpan w:val="2"/>
          </w:tcPr>
          <w:p>
            <w:pPr>
              <w:spacing w:after="0"/>
              <w:rPr>
                <w:sz w:val="24"/>
                <w:szCs w:val="24"/>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r>
    </w:tbl>
    <w:p>
      <w:pPr>
        <w:sectPr>
          <w:pgSz w:w="11900" w:h="16838" w:orient="portrait"/>
          <w:cols w:equalWidth="0" w:num="1">
            <w:col w:w="11020"/>
          </w:cols>
          <w:pgMar w:left="440" w:top="266" w:right="4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Lake Street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920 Second Avenue South,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As an inducement to Lake Street Capital Markets, LLC (the “</w:t>
      </w:r>
      <w:r>
        <w:rPr>
          <w:rFonts w:ascii="Times New Roman" w:cs="Times New Roman" w:eastAsia="Times New Roman" w:hAnsi="Times New Roman"/>
          <w:sz w:val="18"/>
          <w:szCs w:val="18"/>
          <w:b w:val="1"/>
          <w:bCs w:val="1"/>
          <w:i w:val="1"/>
          <w:iCs w:val="1"/>
          <w:color w:val="auto"/>
        </w:rPr>
        <w:t>Placement Agent</w:t>
      </w:r>
      <w:r>
        <w:rPr>
          <w:rFonts w:ascii="Times New Roman" w:cs="Times New Roman" w:eastAsia="Times New Roman" w:hAnsi="Times New Roman"/>
          <w:sz w:val="18"/>
          <w:szCs w:val="18"/>
          <w:color w:val="auto"/>
        </w:rPr>
        <w:t xml:space="preserve">”) to execute a placement agency agreement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Agency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for a registered offering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of certain securities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of Hyperfine, Inc., a Delaware corporation,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any successor (by merger or otherwise) thereto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undersigned hereby agrees that without, in each case, the prior written consent of the Placement Agent (which consent may be withheld in its sole discretion) during the period specified in the second succeeding paragraph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undersigned will not without the prior consent of the Placement Agent:</w:t>
      </w:r>
    </w:p>
    <w:p>
      <w:pPr>
        <w:spacing w:after="0" w:line="89" w:lineRule="exact"/>
        <w:rPr>
          <w:sz w:val="20"/>
          <w:szCs w:val="20"/>
          <w:color w:val="auto"/>
        </w:rPr>
      </w:pPr>
    </w:p>
    <w:p>
      <w:pPr>
        <w:ind w:left="960" w:hanging="532"/>
        <w:spacing w:after="0" w:line="254"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announce the intention to sell, sell, contract to sell, sell any option or contract to purchase, purchase any option or contract to sell, grant any option, right or warrant to purchase, make any short sale or otherwise transfer or dispose of, directly or indirectly, any shares of the Company’s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any shares of the Company’s Class B common stock, par value $0.0001 per 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any shares of the Company’s preferred stock, par value $0.0001 per share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or any securities convertible into, exercisable or exchangeable for or that represent the right to receive Common Stock or Preferred Stock, as applicable (including without limitation, Common Stock which may be deemed to be beneficially owned by the undersigned in accordance with the rules and regulations of the U.S. Securities and Exchange Commission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securities which may be issued upon exercise of a stock option or warrant) whether now owned or hereafter acquired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Undersigned’s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93" w:lineRule="exact"/>
        <w:rPr>
          <w:rFonts w:ascii="Times New Roman" w:cs="Times New Roman" w:eastAsia="Times New Roman" w:hAnsi="Times New Roman"/>
          <w:sz w:val="18"/>
          <w:szCs w:val="18"/>
          <w:color w:val="auto"/>
        </w:rPr>
      </w:pPr>
    </w:p>
    <w:p>
      <w:pPr>
        <w:ind w:left="960" w:right="780" w:hanging="532"/>
        <w:spacing w:after="0" w:line="282"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that transfers, in whole or in part, any of the economic consequences of ownership of the Undersigned’s Securities,</w:t>
      </w:r>
    </w:p>
    <w:p>
      <w:pPr>
        <w:spacing w:after="0" w:line="54" w:lineRule="exact"/>
        <w:rPr>
          <w:sz w:val="20"/>
          <w:szCs w:val="20"/>
          <w:color w:val="auto"/>
        </w:rPr>
      </w:pPr>
    </w:p>
    <w:p>
      <w:pPr>
        <w:ind w:left="440" w:right="380"/>
        <w:spacing w:after="0" w:line="282" w:lineRule="auto"/>
        <w:rPr>
          <w:sz w:val="20"/>
          <w:szCs w:val="20"/>
          <w:color w:val="auto"/>
        </w:rPr>
      </w:pPr>
      <w:r>
        <w:rPr>
          <w:rFonts w:ascii="Times New Roman" w:cs="Times New Roman" w:eastAsia="Times New Roman" w:hAnsi="Times New Roman"/>
          <w:sz w:val="18"/>
          <w:szCs w:val="18"/>
          <w:color w:val="auto"/>
        </w:rPr>
        <w:t>whether any such transaction described in clause (1) or (2) above is to be settled by delivery of Common Stock, Preferred Stock or such other securities, in cash or otherwise;</w:t>
      </w:r>
    </w:p>
    <w:p>
      <w:pPr>
        <w:spacing w:after="0" w:line="67" w:lineRule="exact"/>
        <w:rPr>
          <w:sz w:val="20"/>
          <w:szCs w:val="20"/>
          <w:color w:val="auto"/>
        </w:rPr>
      </w:pPr>
    </w:p>
    <w:p>
      <w:pPr>
        <w:ind w:left="960" w:right="680" w:hanging="532"/>
        <w:spacing w:after="0" w:line="282"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Common Stock, Preferred Stock or any security convertible into or exercisable or exchangeable for Common Stock or Preferred Stock; or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or disclose the intention to do any of the foregoing.</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undersigned agrees that the foregoing restrictions preclude the undersigned from engaging in any hedging or other transaction which is designed to or which reasonably could be expected to lead to or result in a sale or disposition of the Undersigned’s Securities even if such securities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Securities or with respect to any security that includes, relates to, or derives any significant part of its value from, such securities.</w:t>
      </w:r>
    </w:p>
    <w:p>
      <w:pPr>
        <w:sectPr>
          <w:pgSz w:w="11900" w:h="16838" w:orient="portrait"/>
          <w:cols w:equalWidth="0" w:num="1">
            <w:col w:w="11000"/>
          </w:cols>
          <w:pgMar w:left="440" w:top="266" w:right="459" w:bottom="1440" w:gutter="0" w:footer="0" w:header="0"/>
        </w:sectPr>
      </w:pPr>
    </w:p>
    <w:bookmarkStart w:id="116" w:name="page117"/>
    <w:bookmarkEnd w:id="116"/>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Lock-Up Period will commence on the date of this Lock-Up Agreement and continue and include the date that is sixty (60) days after the closing date of the Offering pursuant to the Placement Agency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the undersigned may transfer the Undersigned’s Securities:</w:t>
      </w:r>
    </w:p>
    <w:p>
      <w:pPr>
        <w:spacing w:after="0" w:line="129" w:lineRule="exact"/>
        <w:rPr>
          <w:sz w:val="20"/>
          <w:szCs w:val="20"/>
          <w:color w:val="auto"/>
        </w:rPr>
      </w:pPr>
    </w:p>
    <w:p>
      <w:pPr>
        <w:ind w:left="960" w:hanging="532"/>
        <w:spacing w:after="0"/>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13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or in connection with a divorce settlement;</w:t>
      </w:r>
    </w:p>
    <w:p>
      <w:pPr>
        <w:spacing w:after="0" w:line="130" w:lineRule="exact"/>
        <w:rPr>
          <w:rFonts w:ascii="Times New Roman" w:cs="Times New Roman" w:eastAsia="Times New Roman" w:hAnsi="Times New Roman"/>
          <w:sz w:val="18"/>
          <w:szCs w:val="18"/>
          <w:color w:val="auto"/>
        </w:rPr>
      </w:pPr>
    </w:p>
    <w:p>
      <w:pPr>
        <w:ind w:left="960" w:right="220" w:hanging="532"/>
        <w:spacing w:after="0" w:line="261" w:lineRule="auto"/>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to a corporation, partnership, limited liability company, trust or other business entity that is a direct or indirect affiliate (as defined in Rule 405 promulgated under the Securities Act of 1933, as amended) of the undersigned or (y) as distributions of shares of Common Stock, Preferred Stock or any security convertible into or exercisable for Common Stock or Preferred Stock, as applicable, to limited partners, limited liability company members, trust beneficiaries or stockholders of the undersigned;</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trust, to the beneficiary of such trust;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testate succession or intestate succession;</w:t>
      </w:r>
    </w:p>
    <w:p>
      <w:pPr>
        <w:spacing w:after="0" w:line="130" w:lineRule="exact"/>
        <w:rPr>
          <w:rFonts w:ascii="Times New Roman" w:cs="Times New Roman" w:eastAsia="Times New Roman" w:hAnsi="Times New Roman"/>
          <w:sz w:val="18"/>
          <w:szCs w:val="18"/>
          <w:color w:val="auto"/>
        </w:rPr>
      </w:pPr>
    </w:p>
    <w:p>
      <w:pPr>
        <w:jc w:val="both"/>
        <w:ind w:left="960" w:right="160" w:hanging="532"/>
        <w:spacing w:after="0" w:line="266" w:lineRule="auto"/>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pursuant to any contractual arrangement that provides for the repurchase of the undersigned’s shares of Common Stock, Preferred Stock or such other securities by the Company or in connection with the termination of the undersigned’s employment or other service relationship with the Company; or</w:t>
      </w:r>
    </w:p>
    <w:p>
      <w:pPr>
        <w:spacing w:after="0" w:line="81" w:lineRule="exact"/>
        <w:rPr>
          <w:rFonts w:ascii="Times New Roman" w:cs="Times New Roman" w:eastAsia="Times New Roman" w:hAnsi="Times New Roman"/>
          <w:sz w:val="18"/>
          <w:szCs w:val="18"/>
          <w:color w:val="auto"/>
        </w:rPr>
      </w:pPr>
    </w:p>
    <w:p>
      <w:pPr>
        <w:ind w:left="960" w:right="20" w:hanging="532"/>
        <w:spacing w:after="0" w:line="256" w:lineRule="auto"/>
        <w:tabs>
          <w:tab w:leader="none" w:pos="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in open market sales pursuant to a Plan (as defined below), in each case to satisfy tax withholding obligations of the undersigned in connection with the vesting or exercise of equity awards pursuant to the Company’s equity incentive plans or outstanding warrants or pursuant to the exercise, including by “net” exercise, of any options or warrants to acquire shares of Common Stock or the conversion of any convertible security into Common Stock described in the prospectus relating to the Offering or issued pursuant to an equity plan described in the Prospectus, it being understood that any such shares of Common Stock received by the undersigned upon such exercise or conversion shall be subject to the restrictions set forth in this Lock-Up Agreement;</w:t>
      </w:r>
    </w:p>
    <w:p>
      <w:pPr>
        <w:spacing w:after="0" w:line="77"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in the case of clauses (i) through (vi), that (a) such transfer shall not involve a disposition for value, and (b) the transferee agrees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writing with the Placement Agent to be bound by the terms of this Lock-Up Agreement and (c) no filing by any party under Section 16(a) of the Securities Exchange Act of 1934, as amended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be required or shall be made voluntarily in connection with such transfer (other than a Schedule 13D or Schedule 13G, if applicable, and Form 4 or Form 5 required to be filed under the Exchange Act if the undersigned is subject to Section 16 reporting with respect to the Company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Form 4 or Form 5 is filed during the Lock-Up Period, such Form 4 or Form 5 shall indicate, if applicable, by footnote disclosure or otherwise that such Form 4 or Form 5 relates to a repurchase of Common Stock or Preferred Stock by the Company in connection with the termination of the undersigned’s employment with the Company or a forfeiture or sale to satisfy tax withholding obligations, as applicable, and that any shares of Common Stock, Preferred Stock and other securities subject to the Lock-Up Agreement that continue to be held by the undersigned remain subject to the terms of the Lock-Up Agreement).</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For purposes of this Lock-Up Agreement, “</w:t>
      </w:r>
      <w:r>
        <w:rPr>
          <w:rFonts w:ascii="Times New Roman" w:cs="Times New Roman" w:eastAsia="Times New Roman" w:hAnsi="Times New Roman"/>
          <w:sz w:val="18"/>
          <w:szCs w:val="18"/>
          <w:b w:val="1"/>
          <w:bCs w:val="1"/>
          <w:i w:val="1"/>
          <w:iCs w:val="1"/>
          <w:color w:val="auto"/>
        </w:rPr>
        <w:t>immediate family</w:t>
      </w:r>
      <w:r>
        <w:rPr>
          <w:rFonts w:ascii="Times New Roman" w:cs="Times New Roman" w:eastAsia="Times New Roman" w:hAnsi="Times New Roman"/>
          <w:sz w:val="18"/>
          <w:szCs w:val="18"/>
          <w:color w:val="auto"/>
        </w:rPr>
        <w:t>” shall mean any relationship by blood, marriage, domestic partnership or adoption, not more remote than first cousin.</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the foregoing restrictions shall not apply to:</w:t>
      </w:r>
    </w:p>
    <w:p>
      <w:pPr>
        <w:spacing w:after="0" w:line="131" w:lineRule="exact"/>
        <w:rPr>
          <w:sz w:val="20"/>
          <w:szCs w:val="20"/>
          <w:color w:val="auto"/>
        </w:rPr>
      </w:pPr>
    </w:p>
    <w:p>
      <w:pPr>
        <w:ind w:left="960" w:right="340" w:hanging="532"/>
        <w:spacing w:after="0" w:line="266" w:lineRule="auto"/>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conversion or exchange (including by means of a cashless exercise) of stock options or restricted stock unites granted pursuant to the Company’s equity incentive plans or any warrants, rights or other convertible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restrictions shall apply to any of the Undersigned’s Securities issued upon such exercise, conversion or exchange;</w:t>
      </w:r>
    </w:p>
    <w:p>
      <w:pPr>
        <w:sectPr>
          <w:pgSz w:w="11900" w:h="16838" w:orient="portrait"/>
          <w:cols w:equalWidth="0" w:num="1">
            <w:col w:w="10980"/>
          </w:cols>
          <w:pgMar w:left="440" w:top="270" w:right="479" w:bottom="1440" w:gutter="0" w:footer="0" w:header="0"/>
        </w:sectPr>
      </w:pPr>
    </w:p>
    <w:bookmarkStart w:id="117" w:name="page118"/>
    <w:bookmarkEnd w:id="117"/>
    <w:p>
      <w:pPr>
        <w:ind w:left="960" w:right="100" w:hanging="532"/>
        <w:spacing w:after="0" w:line="257"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establishment of any contract, instruction or plan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satisfies all of the requirements of Rule 10b5-1(c)(1)(i)(B)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sales of the Undersigned’s Securities shall be made pursuant to such a Plan prior to the expiration of the Lock-Up Period, and such a Plan may only be established if no public announcement of the establishment or existence thereof and no filing with the SEC or other regulatory authority in respect thereof or transactions thereunder or contemplated thereby is voluntarily made by the undersigned, the Company or any other person, prior to the expiration of the Lock-Up Period, provided, however, that any such required announcement or filing is permitted;</w:t>
      </w:r>
    </w:p>
    <w:p>
      <w:pPr>
        <w:spacing w:after="0" w:line="91" w:lineRule="exact"/>
        <w:rPr>
          <w:rFonts w:ascii="Times New Roman" w:cs="Times New Roman" w:eastAsia="Times New Roman" w:hAnsi="Times New Roman"/>
          <w:sz w:val="18"/>
          <w:szCs w:val="18"/>
          <w:color w:val="auto"/>
        </w:rPr>
      </w:pPr>
    </w:p>
    <w:p>
      <w:pPr>
        <w:ind w:left="960" w:right="200" w:hanging="532"/>
        <w:spacing w:after="0" w:line="261"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Common Stock pursuant to a Plan that satisfies all of the requirements of Rule 10b5-1 under the Exchange Act and that is in effect as of the date of the Placement Agency Agreement (and any related filings in connection with such sale or disposition that are required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filings shall indicate by footnote disclosure or otherwise (1) that such sale or disposition was made in connection with a Plan and (2) the date such Plan was entered into);</w:t>
      </w:r>
    </w:p>
    <w:p>
      <w:pPr>
        <w:spacing w:after="0" w:line="85"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related to shares of Common Stock, Preferred Stock or other securities acquired in open market transactions after the completion of the Offering or to shares of Common Stock or Preferred Stock acquired in the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shall be required or shall be voluntarily made during the Lock-Up Period in connection with subsequent sales of Common Stock, Preferred Stock or other securities acquired in such open market transactions; or</w:t>
      </w:r>
    </w:p>
    <w:p>
      <w:pPr>
        <w:spacing w:after="0" w:line="85" w:lineRule="exact"/>
        <w:rPr>
          <w:rFonts w:ascii="Times New Roman" w:cs="Times New Roman" w:eastAsia="Times New Roman" w:hAnsi="Times New Roman"/>
          <w:sz w:val="18"/>
          <w:szCs w:val="18"/>
          <w:color w:val="auto"/>
        </w:rPr>
      </w:pPr>
    </w:p>
    <w:p>
      <w:pPr>
        <w:ind w:left="960" w:hanging="532"/>
        <w:spacing w:after="0" w:line="254"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of Common Stock, Preferred Stock or any securities convertible into or exercisable or exchangeable for Common Stock or Preferred Stock, as applicable, pursuant to any bona fide third party tender offer, merger, consolidation or other similar transaction made to all holders of the Company’s capital stock involving a change of control of the Company which is approved by the Company’s Board of Directors (including, without limitation, the entering into any lock-up, voting or similar agreement pursuant to which the undersigned may agree to transfer, sell, tender or otherwise dispose of Common Stock, Preferred Stock or other such securities in connection with such transaction, or vote any Common Stock, Preferred Stock or other such securities in favor of any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such tender offer, merger, consolidation or other such transaction is not completed, the Undersigned’s Securities shall remain subject to the terms of this Lock-Up Agreement.</w:t>
      </w:r>
    </w:p>
    <w:p>
      <w:pPr>
        <w:spacing w:after="0" w:line="19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furtherance of the foregoing, the Company and its transfer agent and registrar are hereby authorized to decline to make any transfer of shares of Common Stock or Preferred Stock, as applicable, if such transfer would constitute a violation or breach of this Lock-Up Agreement.</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Lock-Up Agreement and that upon request, the undersigned will execute any additional documents necessary to ensure the validity or enforcement of this Lock-Up Agreement. All authority herein conferred or agreed to be conferred and any obligations of the undersigned shall be binding upon the successors, assigns, heirs or personal representatives of the undersigned.</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the undersigned shall be released from all obligations under this Lock-Up Agreement if (a) the Company notifies the Placement Agent that it does not intend to proceed with the Offering, (b) the Placement Agency Agreement does not become effective, or if the Placement Agency Agreement (other than the provisions thereof which survive termination) shall terminate or be terminated prior to payment for and delivery of the Securities to be sold thereunder or (c) the Offering is not completed by February 28, 2025.</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Placement Agent is entering into the Placement Agency Agreement and proceeding with the Offering in reliance upon this Lock-Up Agreement and entered into this Lock-Up Agreement in order to induce you to participate in the Offering and for other good and valuation consideration.</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This Lock-Up Agreement shall be governed by, and construed in accordance with, the laws of the State of New York, without regard to conflict of law principles thereof. The undersigned irrevocably (i) submits to the jurisdiction of the state courts located in the State of New York, for the purpose of any suit, action, or other proceeding arising out of this Lock-Up Agreement (each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(ii) agrees that all claims in respect of any Proceeding may be heard and determined in any such court, (iii) waives, to the fullest extent permitted by law, any immunity from jurisdiction of any such court or from any legal process therein, (iv) agrees not to commence any Proceeding other than in such courts, and (v) waives, to the fullest extent permitted by law, any claim that such Proceeding is brought in an inconvenient forum.</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66" w:right="479" w:bottom="1440" w:gutter="0" w:footer="0" w:header="0"/>
        </w:sectPr>
      </w:pPr>
    </w:p>
    <w:bookmarkStart w:id="118" w:name="page119"/>
    <w:bookmarkEnd w:id="11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00" w:lineRule="exact"/>
        <w:rPr>
          <w:sz w:val="20"/>
          <w:szCs w:val="20"/>
          <w:color w:val="auto"/>
        </w:rPr>
      </w:pPr>
    </w:p>
    <w:p>
      <w:pPr>
        <w:spacing w:after="0" w:line="3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Printed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-127635</wp:posOffset>
            </wp:positionV>
            <wp:extent cx="27946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-127635</wp:posOffset>
            </wp:positionV>
            <wp:extent cx="27946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Printed Name and Title of Person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-127635</wp:posOffset>
            </wp:positionV>
            <wp:extent cx="27946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(if signing as custodian, trustee, or on behalf of an entity)</w:t>
      </w:r>
    </w:p>
    <w:p>
      <w:pPr>
        <w:sectPr>
          <w:pgSz w:w="11900" w:h="16838" w:orient="portrait"/>
          <w:cols w:equalWidth="0" w:num="1">
            <w:col w:w="9760"/>
          </w:cols>
          <w:pgMar w:left="1440" w:top="270" w:right="69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Hyperfine Announces $6.0 Million Registered Direct Offering</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GUILFORD, CT., Feb. 11, 2025— Hyperfine, Inc. (Nasdaq: HYPR) (“Hyperfine” or the “Company”) today announced it has entered into a definitive agreement with investors for the purchase and sale of 4,511,278 shares of the Company’s Class A common stock and warrants to purchase up to 4,511,278 shares of Class A common stock. Each share of Class A common stock and accompanying warrant were sold together at a combined offering price of $1.33 in a registered direct offering. The warrants have an exercise price of $1.33 per share, are immediately exercisable and will expire five years from the initial exercise date. All of the securities in the offering are being sold by Hyperfine.</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gross proceeds to Hyperfine from the offering are expected to be approximately $6.0 million, before deducting placement agent fees and other offering expenses payable by Hyperfine. The offering is expected to close on or about February 12, 2025, subject to the satisfaction of customary closing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Lake Street Capital Markets is acting as the exclusive placement agent for the offering.</w:t>
      </w:r>
    </w:p>
    <w:p>
      <w:pPr>
        <w:spacing w:after="0" w:line="22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Hyperfine intends to use the proceeds from the proposed offering for working capital and general corporate purposes, including commercial, manufacturing, and research and development activities.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securities are being offered and sold by the Company pursuant to an effective shelf registration statement on Form S-3 (File No. 333-275449) previously filed with the U.S. Securities and Exchange Commission (the “SEC”) on November 9, 2023 and declared effective by the SEC on November 22, 2023. The offering of such securities is being made only by means of a prospectus supplement that forms a part of the registration statement. Copies of the prospectus supplement and accompanying base prospectus will be filed with the SEC and will be available free of charge on the SEC’s website at </w:t>
      </w:r>
      <w:r>
        <w:rPr>
          <w:rFonts w:ascii="Times New Roman" w:cs="Times New Roman" w:eastAsia="Times New Roman" w:hAnsi="Times New Roman"/>
          <w:sz w:val="18"/>
          <w:szCs w:val="18"/>
          <w:u w:val="single" w:color="auto"/>
          <w:color w:val="auto"/>
        </w:rPr>
        <w:t>http://sec.gov</w:t>
      </w:r>
      <w:r>
        <w:rPr>
          <w:rFonts w:ascii="Times New Roman" w:cs="Times New Roman" w:eastAsia="Times New Roman" w:hAnsi="Times New Roman"/>
          <w:sz w:val="18"/>
          <w:szCs w:val="18"/>
          <w:color w:val="auto"/>
        </w:rPr>
        <w:t xml:space="preserve">. Electronic copies of the prospectus supplement and accompanying base prospectus may also be obtained, when available, from Lake Street Capital Markets, LLC at 920 Second Avenue South, Unit 700, Minneapolis, MN 55402, or e-mail at </w:t>
      </w:r>
      <w:r>
        <w:rPr>
          <w:rFonts w:ascii="Times New Roman" w:cs="Times New Roman" w:eastAsia="Times New Roman" w:hAnsi="Times New Roman"/>
          <w:sz w:val="18"/>
          <w:szCs w:val="18"/>
          <w:u w:val="single" w:color="auto"/>
          <w:color w:val="auto"/>
        </w:rPr>
        <w:t>prospectus@lakestreetcm.com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Hyperfine, Inc.</w:t>
      </w:r>
    </w:p>
    <w:p>
      <w:pPr>
        <w:spacing w:after="0" w:line="12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Hyperfine is the groundbreaking health technology company that has redefined brain imaging with the Swoop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system—the first FDA-cleared, portable, ultra-low-field, magnetic resonance brain imaging system capable of providing imaging at multiple points of professional care. The mission of Hyperfine is to revolutionize patient care globally through transformational, accessible, clinically relevant diagnostic imaging. Founded by Dr. Jonathan Rothberg in a technology-based incubator called 4Catalyzer, Hyperfine, Inc. scientists, engineers, and physicists developed the Swoop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out of a passion for redefining brain imaging methodology and how clinicians can apply accessible diagnostic imaging to patient care. The Hyperfine logo, Swoop, and Portable MR Imaging are registered trademarks of Hyperfine, Inc.</w:t>
      </w:r>
    </w:p>
    <w:p>
      <w:pPr>
        <w:sectPr>
          <w:pgSz w:w="11900" w:h="16838" w:orient="portrait"/>
          <w:cols w:equalWidth="0" w:num="1">
            <w:col w:w="11020"/>
          </w:cols>
          <w:pgMar w:left="440" w:top="117"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includes certain forward-looking statements within the meaning of the Private Securities Litigation Reform Act of 1995, including statements regarding the completion of the Company’s offering and the anticipated use of proceeds therefrom. These statements are based on the Company’s current expectations or beliefs and are subject to uncertainty and changes in circumstances. Actual results may vary materially from those expressed or implied by the statements here due to changes in market, economic, business, competitive or regulatory factors, and other risks and uncertainties, including those set forth in the Company’s filings with the SEC, including in the prospectus supplement related to the offering, to be filed with the SEC on February 11, 2025, and the Company’s most recent Annual Report on Form 10-K, filed with the SEC on March 22, 2024, and in other filings the Company makes with the SEC from time to time. The Company cautions readers that these statements are not exclusive and that readers should not place undue reliance upon any forward-looking statements. The forward-looking statements in this press release speak only as of the date of this press release. The Company does not undertake any obligation to update or revise these forward-looking statements for any reason, except as required by law.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Devin Zell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Hyperfine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dzell@hyperfine.io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Webb Campbell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Gilmartin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webb@gilmartinir.com</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1."/>
      <w:numFmt w:val="decimal"/>
      <w:start w:val="1"/>
    </w:lvl>
  </w:abstractNum>
  <w:abstractNum w:abstractNumId="2">
    <w:nsid w:val="75C6C33A"/>
    <w:multiLevelType w:val="hybridMultilevel"/>
    <w:lvl w:ilvl="0">
      <w:lvlJc w:val="left"/>
      <w:lvlText w:val="%1."/>
      <w:numFmt w:val="decimal"/>
      <w:start w:val="2"/>
    </w:lvl>
  </w:abstractNum>
  <w:abstractNum w:abstractNumId="3">
    <w:nsid w:val="12E685FB"/>
    <w:multiLevelType w:val="hybridMultilevel"/>
    <w:lvl w:ilvl="0">
      <w:lvlJc w:val="left"/>
      <w:lvlText w:val="%1."/>
      <w:numFmt w:val="decimal"/>
      <w:start w:val="1"/>
    </w:lvl>
  </w:abstractNum>
  <w:abstractNum w:abstractNumId="4">
    <w:nsid w:val="70C6A529"/>
    <w:multiLevelType w:val="hybridMultilevel"/>
    <w:lvl w:ilvl="0">
      <w:lvlJc w:val="left"/>
      <w:lvlText w:val="%1."/>
      <w:numFmt w:val="decimal"/>
      <w:start w:val="1"/>
    </w:lvl>
  </w:abstractNum>
  <w:abstractNum w:abstractNumId="5">
    <w:nsid w:val="520EEDD1"/>
    <w:multiLevelType w:val="hybridMultilevel"/>
    <w:lvl w:ilvl="0">
      <w:lvlJc w:val="left"/>
      <w:lvlText w:val="%1."/>
      <w:numFmt w:val="upperLetter"/>
      <w:start w:val="5"/>
    </w:lvl>
  </w:abstractNum>
  <w:abstractNum w:abstractNumId="6">
    <w:nsid w:val="374A3FE6"/>
    <w:multiLevelType w:val="hybridMultilevel"/>
    <w:lvl w:ilvl="0">
      <w:lvlJc w:val="left"/>
      <w:lvlText w:val="%1."/>
      <w:numFmt w:val="decimal"/>
      <w:start w:val="1"/>
    </w:lvl>
  </w:abstractNum>
  <w:abstractNum w:abstractNumId="7">
    <w:nsid w:val="4F4EF005"/>
    <w:multiLevelType w:val="hybridMultilevel"/>
    <w:lvl w:ilvl="0">
      <w:lvlJc w:val="left"/>
      <w:lvlText w:val="%1)"/>
      <w:numFmt w:val="lowerLetter"/>
      <w:start w:val="1"/>
    </w:lvl>
  </w:abstractNum>
  <w:abstractNum w:abstractNumId="8">
    <w:nsid w:val="23F9C13C"/>
    <w:multiLevelType w:val="hybridMultilevel"/>
    <w:lvl w:ilvl="0">
      <w:lvlJc w:val="left"/>
      <w:lvlText w:val="%1)"/>
      <w:numFmt w:val="lowerLetter"/>
      <w:start w:val="2"/>
    </w:lvl>
  </w:abstractNum>
  <w:abstractNum w:abstractNumId="9">
    <w:nsid w:val="649BB77C"/>
    <w:multiLevelType w:val="hybridMultilevel"/>
    <w:lvl w:ilvl="0">
      <w:lvlJc w:val="left"/>
      <w:lvlText w:val="%1)"/>
      <w:numFmt w:val="lowerLetter"/>
      <w:start w:val="4"/>
    </w:lvl>
    <w:lvl w:ilvl="1">
      <w:lvlJc w:val="left"/>
      <w:lvlText w:val="%2."/>
      <w:numFmt w:val="lowerRoman"/>
      <w:start w:val="1"/>
    </w:lvl>
  </w:abstractNum>
  <w:abstractNum w:abstractNumId="10">
    <w:nsid w:val="275AC794"/>
    <w:multiLevelType w:val="hybridMultilevel"/>
    <w:lvl w:ilvl="0">
      <w:lvlJc w:val="left"/>
      <w:lvlText w:val="%1."/>
      <w:numFmt w:val="lowerRoman"/>
      <w:start w:val="3"/>
    </w:lvl>
  </w:abstractNum>
  <w:abstractNum w:abstractNumId="11">
    <w:nsid w:val="39386575"/>
    <w:multiLevelType w:val="hybridMultilevel"/>
    <w:lvl w:ilvl="0">
      <w:lvlJc w:val="left"/>
      <w:lvlText w:val="%1."/>
      <w:numFmt w:val="lowerRoman"/>
      <w:start w:val="6"/>
    </w:lvl>
  </w:abstractNum>
  <w:abstractNum w:abstractNumId="12">
    <w:nsid w:val="1CF10FD8"/>
    <w:multiLevelType w:val="hybridMultilevel"/>
    <w:lvl w:ilvl="0">
      <w:lvlJc w:val="left"/>
      <w:lvlText w:val="%1)"/>
      <w:numFmt w:val="lowerLetter"/>
      <w:start w:val="1"/>
    </w:lvl>
  </w:abstractNum>
  <w:abstractNum w:abstractNumId="13">
    <w:nsid w:val="180115BE"/>
    <w:multiLevelType w:val="hybridMultilevel"/>
    <w:lvl w:ilvl="0">
      <w:lvlJc w:val="left"/>
      <w:lvlText w:val="%1)"/>
      <w:numFmt w:val="lowerLetter"/>
      <w:start w:val="4"/>
    </w:lvl>
  </w:abstractNum>
  <w:abstractNum w:abstractNumId="14">
    <w:nsid w:val="235BA861"/>
    <w:multiLevelType w:val="hybridMultilevel"/>
    <w:lvl w:ilvl="0">
      <w:lvlJc w:val="left"/>
      <w:lvlText w:val="(%1)"/>
      <w:numFmt w:val="decimal"/>
      <w:start w:val="3"/>
    </w:lvl>
  </w:abstractNum>
  <w:abstractNum w:abstractNumId="15">
    <w:nsid w:val="47398C89"/>
    <w:multiLevelType w:val="hybridMultilevel"/>
    <w:lvl w:ilvl="0">
      <w:lvlJc w:val="left"/>
      <w:lvlText w:val="%1)"/>
      <w:numFmt w:val="lowerLetter"/>
      <w:start w:val="6"/>
    </w:lvl>
    <w:lvl w:ilvl="1">
      <w:lvlJc w:val="left"/>
      <w:lvlText w:val="%2."/>
      <w:numFmt w:val="lowerRoman"/>
      <w:start w:val="1"/>
    </w:lvl>
  </w:abstractNum>
  <w:abstractNum w:abstractNumId="16">
    <w:nsid w:val="354FE9F9"/>
    <w:multiLevelType w:val="hybridMultilevel"/>
    <w:lvl w:ilvl="0">
      <w:lvlJc w:val="left"/>
      <w:lvlText w:val="%1)"/>
      <w:numFmt w:val="lowerLetter"/>
      <w:start w:val="1"/>
    </w:lvl>
  </w:abstractNum>
  <w:abstractNum w:abstractNumId="17">
    <w:nsid w:val="15B5AF5C"/>
    <w:multiLevelType w:val="hybridMultilevel"/>
    <w:lvl w:ilvl="0">
      <w:lvlJc w:val="left"/>
      <w:lvlText w:val="%1)"/>
      <w:numFmt w:val="lowerLetter"/>
      <w:start w:val="2"/>
    </w:lvl>
  </w:abstractNum>
  <w:abstractNum w:abstractNumId="18">
    <w:nsid w:val="741226BB"/>
    <w:multiLevelType w:val="hybridMultilevel"/>
    <w:lvl w:ilvl="0">
      <w:lvlJc w:val="left"/>
      <w:lvlText w:val="%1)"/>
      <w:numFmt w:val="lowerLetter"/>
      <w:start w:val="1"/>
    </w:lvl>
  </w:abstractNum>
  <w:abstractNum w:abstractNumId="19">
    <w:nsid w:val="D34B6A8"/>
    <w:multiLevelType w:val="hybridMultilevel"/>
    <w:lvl w:ilvl="0">
      <w:lvlJc w:val="left"/>
      <w:lvlText w:val="%1)"/>
      <w:numFmt w:val="lowerLetter"/>
      <w:start w:val="4"/>
    </w:lvl>
  </w:abstractNum>
  <w:abstractNum w:abstractNumId="20">
    <w:nsid w:val="10233C99"/>
    <w:multiLevelType w:val="hybridMultilevel"/>
    <w:lvl w:ilvl="0">
      <w:lvlJc w:val="left"/>
      <w:lvlText w:val="%1)"/>
      <w:numFmt w:val="lowerLetter"/>
      <w:start w:val="5"/>
    </w:lvl>
  </w:abstractNum>
  <w:abstractNum w:abstractNumId="21">
    <w:nsid w:val="3F6AB60F"/>
    <w:multiLevelType w:val="hybridMultilevel"/>
    <w:lvl w:ilvl="0">
      <w:lvlJc w:val="left"/>
      <w:lvlText w:val="%1)"/>
      <w:numFmt w:val="lowerLetter"/>
      <w:start w:val="6"/>
    </w:lvl>
  </w:abstractNum>
  <w:abstractNum w:abstractNumId="22">
    <w:nsid w:val="61574095"/>
    <w:multiLevelType w:val="hybridMultilevel"/>
    <w:lvl w:ilvl="0">
      <w:lvlJc w:val="left"/>
      <w:lvlText w:val="%1)"/>
      <w:numFmt w:val="lowerLetter"/>
      <w:start w:val="13"/>
    </w:lvl>
  </w:abstractNum>
  <w:abstractNum w:abstractNumId="23">
    <w:nsid w:val="7E0C57B1"/>
    <w:multiLevelType w:val="hybridMultilevel"/>
    <w:lvl w:ilvl="0">
      <w:lvlJc w:val="left"/>
      <w:lvlText w:val="(%1)"/>
      <w:numFmt w:val="decimal"/>
      <w:start w:val="1"/>
    </w:lvl>
  </w:abstractNum>
  <w:abstractNum w:abstractNumId="24">
    <w:nsid w:val="77AE35EB"/>
    <w:multiLevelType w:val="hybridMultilevel"/>
    <w:lvl w:ilvl="0">
      <w:lvlJc w:val="left"/>
      <w:lvlText w:val="(%1)"/>
      <w:numFmt w:val="lowerRoman"/>
      <w:start w:val="2"/>
    </w:lvl>
  </w:abstractNum>
  <w:abstractNum w:abstractNumId="25">
    <w:nsid w:val="579BE4F1"/>
    <w:multiLevelType w:val="hybridMultilevel"/>
    <w:lvl w:ilvl="0">
      <w:lvlJc w:val="left"/>
      <w:lvlText w:val="(%1)"/>
      <w:numFmt w:val="lowerLetter"/>
      <w:start w:val="1"/>
    </w:lvl>
    <w:lvl w:ilvl="1">
      <w:lvlJc w:val="left"/>
      <w:lvlText w:val="(%2)"/>
      <w:numFmt w:val="lowerRoman"/>
      <w:start w:val="1"/>
    </w:lvl>
  </w:abstractNum>
  <w:abstractNum w:abstractNumId="26">
    <w:nsid w:val="310C50B3"/>
    <w:multiLevelType w:val="hybridMultilevel"/>
    <w:lvl w:ilvl="0">
      <w:lvlJc w:val="left"/>
      <w:lvlText w:val="(%1)"/>
      <w:numFmt w:val="lowerLetter"/>
      <w:start w:val="1"/>
    </w:lvl>
    <w:lvl w:ilvl="1">
      <w:lvlJc w:val="left"/>
      <w:lvlText w:val="(%2)"/>
      <w:numFmt w:val="lowerRoman"/>
      <w:start w:val="1"/>
    </w:lvl>
  </w:abstractNum>
  <w:abstractNum w:abstractNumId="27">
    <w:nsid w:val="5FF87E05"/>
    <w:multiLevelType w:val="hybridMultilevel"/>
    <w:lvl w:ilvl="0">
      <w:lvlJc w:val="left"/>
      <w:lvlText w:val="(%1)"/>
      <w:numFmt w:val="lowerRoman"/>
      <w:start w:val="6"/>
    </w:lvl>
  </w:abstractNum>
  <w:abstractNum w:abstractNumId="28">
    <w:nsid w:val="2F305DEF"/>
    <w:multiLevelType w:val="hybridMultilevel"/>
    <w:lvl w:ilvl="0">
      <w:lvlJc w:val="left"/>
      <w:lvlText w:val="(%1)"/>
      <w:numFmt w:val="lowerLetter"/>
      <w:start w:val="1"/>
    </w:lvl>
  </w:abstractNum>
  <w:abstractNum w:abstractNumId="29">
    <w:nsid w:val="25A70BF7"/>
    <w:multiLevelType w:val="hybridMultilevel"/>
    <w:lvl w:ilvl="0">
      <w:lvlJc w:val="left"/>
      <w:lvlText w:val="(%1)"/>
      <w:numFmt w:val="lowerLetter"/>
      <w:start w:val="4"/>
    </w:lvl>
  </w:abstractNum>
  <w:abstractNum w:abstractNumId="30">
    <w:nsid w:val="1DBABF00"/>
    <w:multiLevelType w:val="hybridMultilevel"/>
    <w:lvl w:ilvl="0">
      <w:lvlJc w:val="left"/>
      <w:lvlText w:val="(%1)"/>
      <w:numFmt w:val="lowerLetter"/>
      <w:start w:val="6"/>
    </w:lvl>
  </w:abstractNum>
  <w:abstractNum w:abstractNumId="31">
    <w:nsid w:val="4AD084E9"/>
    <w:multiLevelType w:val="hybridMultilevel"/>
    <w:lvl w:ilvl="0">
      <w:lvlJc w:val="left"/>
      <w:lvlText w:val="(%1)"/>
      <w:numFmt w:val="lowerLetter"/>
      <w:start w:val="8"/>
    </w:lvl>
  </w:abstractNum>
  <w:abstractNum w:abstractNumId="32">
    <w:nsid w:val="1F48EAA1"/>
    <w:multiLevelType w:val="hybridMultilevel"/>
    <w:lvl w:ilvl="0">
      <w:lvlJc w:val="left"/>
      <w:lvlText w:val="(%1)"/>
      <w:numFmt w:val="lowerLetter"/>
      <w:start w:val="9"/>
    </w:lvl>
  </w:abstractNum>
  <w:abstractNum w:abstractNumId="33">
    <w:nsid w:val="1381823A"/>
    <w:multiLevelType w:val="hybridMultilevel"/>
    <w:lvl w:ilvl="0">
      <w:lvlJc w:val="left"/>
      <w:lvlText w:val="(%1)"/>
      <w:numFmt w:val="lowerLetter"/>
      <w:start w:val="11"/>
    </w:lvl>
  </w:abstractNum>
  <w:abstractNum w:abstractNumId="34">
    <w:nsid w:val="5DB70AE5"/>
    <w:multiLevelType w:val="hybridMultilevel"/>
    <w:lvl w:ilvl="0">
      <w:lvlJc w:val="left"/>
      <w:lvlText w:val="(%1)"/>
      <w:numFmt w:val="lowerLetter"/>
      <w:start w:val="14"/>
    </w:lvl>
  </w:abstractNum>
  <w:abstractNum w:abstractNumId="35">
    <w:nsid w:val="100F8FCA"/>
    <w:multiLevelType w:val="hybridMultilevel"/>
    <w:lvl w:ilvl="0">
      <w:lvlJc w:val="left"/>
      <w:lvlText w:val="(%1)"/>
      <w:numFmt w:val="lowerLetter"/>
      <w:start w:val="17"/>
    </w:lvl>
  </w:abstractNum>
  <w:abstractNum w:abstractNumId="36">
    <w:nsid w:val="6590700B"/>
    <w:multiLevelType w:val="hybridMultilevel"/>
    <w:lvl w:ilvl="0">
      <w:lvlJc w:val="left"/>
      <w:lvlText w:val="(%1)"/>
      <w:numFmt w:val="lowerLetter"/>
      <w:start w:val="20"/>
    </w:lvl>
  </w:abstractNum>
  <w:abstractNum w:abstractNumId="37">
    <w:nsid w:val="15014ACB"/>
    <w:multiLevelType w:val="hybridMultilevel"/>
    <w:lvl w:ilvl="0">
      <w:lvlJc w:val="left"/>
      <w:lvlText w:val="(%1)"/>
      <w:numFmt w:val="lowerLetter"/>
      <w:start w:val="25"/>
    </w:lvl>
  </w:abstractNum>
  <w:abstractNum w:abstractNumId="38">
    <w:nsid w:val="5F5E7FD0"/>
    <w:multiLevelType w:val="hybridMultilevel"/>
    <w:lvl w:ilvl="0">
      <w:lvlJc w:val="left"/>
      <w:lvlText w:val="(%1)"/>
      <w:numFmt w:val="lowerLetter"/>
      <w:start w:val="27"/>
    </w:lvl>
  </w:abstractNum>
  <w:abstractNum w:abstractNumId="39">
    <w:nsid w:val="98A3148"/>
    <w:multiLevelType w:val="hybridMultilevel"/>
    <w:lvl w:ilvl="0">
      <w:lvlJc w:val="left"/>
      <w:lvlText w:val="%1"/>
      <w:numFmt w:val="lowerLetter"/>
      <w:start w:val="1"/>
    </w:lvl>
    <w:lvl w:ilvl="1">
      <w:lvlJc w:val="left"/>
      <w:lvlText w:val="(%2)"/>
      <w:numFmt w:val="lowerLetter"/>
      <w:start w:val="28"/>
    </w:lvl>
  </w:abstractNum>
  <w:abstractNum w:abstractNumId="40">
    <w:nsid w:val="799D0247"/>
    <w:multiLevelType w:val="hybridMultilevel"/>
    <w:lvl w:ilvl="0">
      <w:lvlJc w:val="left"/>
      <w:lvlText w:val="(%1)"/>
      <w:numFmt w:val="lowerLetter"/>
      <w:start w:val="61"/>
    </w:lvl>
    <w:lvl w:ilvl="1">
      <w:lvlJc w:val="left"/>
      <w:lvlText w:val="(%2)"/>
      <w:numFmt w:val="lowerLetter"/>
      <w:start w:val="29"/>
    </w:lvl>
  </w:abstractNum>
  <w:abstractNum w:abstractNumId="41">
    <w:nsid w:val="6B94764"/>
    <w:multiLevelType w:val="hybridMultilevel"/>
    <w:lvl w:ilvl="0">
      <w:lvlJc w:val="left"/>
      <w:lvlText w:val="(%1)"/>
      <w:numFmt w:val="lowerLetter"/>
      <w:start w:val="31"/>
    </w:lvl>
  </w:abstractNum>
  <w:abstractNum w:abstractNumId="42">
    <w:nsid w:val="42C296BD"/>
    <w:multiLevelType w:val="hybridMultilevel"/>
    <w:lvl w:ilvl="0">
      <w:lvlJc w:val="left"/>
      <w:lvlText w:val="%1"/>
      <w:numFmt w:val="lowerRoman"/>
      <w:start w:val="1"/>
    </w:lvl>
    <w:lvl w:ilvl="1">
      <w:lvlJc w:val="left"/>
      <w:lvlText w:val="(%2)"/>
      <w:numFmt w:val="lowerLetter"/>
      <w:start w:val="34"/>
    </w:lvl>
  </w:abstractNum>
  <w:abstractNum w:abstractNumId="43">
    <w:nsid w:val="168E121F"/>
    <w:multiLevelType w:val="hybridMultilevel"/>
    <w:lvl w:ilvl="0">
      <w:lvlJc w:val="left"/>
      <w:lvlText w:val="(%1)"/>
      <w:numFmt w:val="lowerRoman"/>
      <w:start w:val="2"/>
    </w:lvl>
    <w:lvl w:ilvl="1">
      <w:lvlJc w:val="left"/>
      <w:lvlText w:val="%2"/>
      <w:numFmt w:val="lowerLetter"/>
      <w:start w:val="1"/>
    </w:lvl>
  </w:abstractNum>
  <w:abstractNum w:abstractNumId="44">
    <w:nsid w:val="1EBA5D23"/>
    <w:multiLevelType w:val="hybridMultilevel"/>
    <w:lvl w:ilvl="0">
      <w:lvlJc w:val="left"/>
      <w:lvlText w:val="(%1)"/>
      <w:numFmt w:val="lowerRoman"/>
      <w:start w:val="4"/>
    </w:lvl>
    <w:lvl w:ilvl="1">
      <w:lvlJc w:val="left"/>
      <w:lvlText w:val="(%2)"/>
      <w:numFmt w:val="lowerLetter"/>
      <w:start w:val="35"/>
    </w:lvl>
  </w:abstractNum>
  <w:abstractNum w:abstractNumId="45">
    <w:nsid w:val="661E3F1E"/>
    <w:multiLevelType w:val="hybridMultilevel"/>
    <w:lvl w:ilvl="0">
      <w:lvlJc w:val="left"/>
      <w:lvlText w:val="%1"/>
      <w:numFmt w:val="lowerRoman"/>
      <w:start w:val="1"/>
    </w:lvl>
    <w:lvl w:ilvl="1">
      <w:lvlJc w:val="left"/>
      <w:lvlText w:val="(%2)"/>
      <w:numFmt w:val="lowerLetter"/>
      <w:start w:val="36"/>
    </w:lvl>
  </w:abstractNum>
  <w:abstractNum w:abstractNumId="46">
    <w:nsid w:val="5DC79EA8"/>
    <w:multiLevelType w:val="hybridMultilevel"/>
    <w:lvl w:ilvl="0">
      <w:lvlJc w:val="left"/>
      <w:lvlText w:val="(%1)"/>
      <w:numFmt w:val="lowerRoman"/>
      <w:start w:val="4"/>
    </w:lvl>
    <w:lvl w:ilvl="1">
      <w:lvlJc w:val="left"/>
      <w:lvlText w:val="%2"/>
      <w:numFmt w:val="lowerLetter"/>
      <w:start w:val="1"/>
    </w:lvl>
  </w:abstractNum>
  <w:abstractNum w:abstractNumId="47">
    <w:nsid w:val="540A471C"/>
    <w:multiLevelType w:val="hybridMultilevel"/>
    <w:lvl w:ilvl="0">
      <w:lvlJc w:val="left"/>
      <w:lvlText w:val="(%1)"/>
      <w:numFmt w:val="lowerRoman"/>
      <w:start w:val="2"/>
    </w:lvl>
    <w:lvl w:ilvl="1">
      <w:lvlJc w:val="left"/>
      <w:lvlText w:val="(%2)"/>
      <w:numFmt w:val="lowerLetter"/>
      <w:start w:val="37"/>
    </w:lvl>
  </w:abstractNum>
  <w:abstractNum w:abstractNumId="48">
    <w:nsid w:val="7BD3EE7B"/>
    <w:multiLevelType w:val="hybridMultilevel"/>
    <w:lvl w:ilvl="0">
      <w:lvlJc w:val="left"/>
      <w:lvlText w:val="(%1)"/>
      <w:numFmt w:val="lowerLetter"/>
      <w:start w:val="38"/>
    </w:lvl>
  </w:abstractNum>
  <w:abstractNum w:abstractNumId="49">
    <w:nsid w:val="51D9C564"/>
    <w:multiLevelType w:val="hybridMultilevel"/>
    <w:lvl w:ilvl="0">
      <w:lvlJc w:val="left"/>
      <w:lvlText w:val="(%1)"/>
      <w:numFmt w:val="lowerLetter"/>
      <w:start w:val="1"/>
    </w:lvl>
  </w:abstractNum>
  <w:abstractNum w:abstractNumId="50">
    <w:nsid w:val="613EFDC5"/>
    <w:multiLevelType w:val="hybridMultilevel"/>
    <w:lvl w:ilvl="0">
      <w:lvlJc w:val="left"/>
      <w:lvlText w:val="(%1)"/>
      <w:numFmt w:val="lowerLetter"/>
      <w:start w:val="2"/>
    </w:lvl>
  </w:abstractNum>
  <w:abstractNum w:abstractNumId="51">
    <w:nsid w:val="BF72B14"/>
    <w:multiLevelType w:val="hybridMultilevel"/>
    <w:lvl w:ilvl="0">
      <w:lvlJc w:val="left"/>
      <w:lvlText w:val="(%1)"/>
      <w:numFmt w:val="lowerLetter"/>
      <w:start w:val="6"/>
    </w:lvl>
  </w:abstractNum>
  <w:abstractNum w:abstractNumId="52">
    <w:nsid w:val="11447B73"/>
    <w:multiLevelType w:val="hybridMultilevel"/>
    <w:lvl w:ilvl="0">
      <w:lvlJc w:val="left"/>
      <w:lvlText w:val="(%1)"/>
      <w:numFmt w:val="lowerLetter"/>
      <w:start w:val="25"/>
    </w:lvl>
  </w:abstractNum>
  <w:abstractNum w:abstractNumId="53">
    <w:nsid w:val="42963E5A"/>
    <w:multiLevelType w:val="hybridMultilevel"/>
    <w:lvl w:ilvl="0">
      <w:lvlJc w:val="left"/>
      <w:lvlText w:val="(%1)"/>
      <w:numFmt w:val="lowerLetter"/>
      <w:start w:val="1"/>
    </w:lvl>
  </w:abstractNum>
  <w:abstractNum w:abstractNumId="54">
    <w:nsid w:val="A0382C5"/>
    <w:multiLevelType w:val="hybridMultilevel"/>
    <w:lvl w:ilvl="0">
      <w:lvlJc w:val="left"/>
      <w:lvlText w:val="%1"/>
      <w:numFmt w:val="lowerLetter"/>
      <w:start w:val="1"/>
    </w:lvl>
    <w:lvl w:ilvl="1">
      <w:lvlJc w:val="left"/>
      <w:lvlText w:val="(%2)"/>
      <w:numFmt w:val="lowerLetter"/>
      <w:start w:val="2"/>
    </w:lvl>
  </w:abstractNum>
  <w:abstractNum w:abstractNumId="55">
    <w:nsid w:val="8F2B15E"/>
    <w:multiLevelType w:val="hybridMultilevel"/>
    <w:lvl w:ilvl="0">
      <w:lvlJc w:val="left"/>
      <w:lvlText w:val="(%1)"/>
      <w:numFmt w:val="lowerLetter"/>
      <w:start w:val="35"/>
    </w:lvl>
    <w:lvl w:ilvl="1">
      <w:lvlJc w:val="left"/>
      <w:lvlText w:val="(%2)"/>
      <w:numFmt w:val="lowerLetter"/>
      <w:start w:val="3"/>
    </w:lvl>
  </w:abstractNum>
  <w:abstractNum w:abstractNumId="56">
    <w:nsid w:val="1A32234B"/>
    <w:multiLevelType w:val="hybridMultilevel"/>
    <w:lvl w:ilvl="0">
      <w:lvlJc w:val="left"/>
      <w:lvlText w:val="(%1)"/>
      <w:numFmt w:val="lowerLetter"/>
      <w:start w:val="1"/>
    </w:lvl>
  </w:abstractNum>
  <w:abstractNum w:abstractNumId="57">
    <w:nsid w:val="3B0FD379"/>
    <w:multiLevelType w:val="hybridMultilevel"/>
    <w:lvl w:ilvl="0">
      <w:lvlJc w:val="left"/>
      <w:lvlText w:val="(%1)"/>
      <w:numFmt w:val="lowerLetter"/>
      <w:start w:val="3"/>
    </w:lvl>
  </w:abstractNum>
  <w:abstractNum w:abstractNumId="58">
    <w:nsid w:val="68EB2F63"/>
    <w:multiLevelType w:val="hybridMultilevel"/>
    <w:lvl w:ilvl="0">
      <w:lvlJc w:val="left"/>
      <w:lvlText w:val="(%1)"/>
      <w:numFmt w:val="lowerLetter"/>
      <w:start w:val="8"/>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1)"/>
      <w:numFmt w:val="lowerLetter"/>
      <w:start w:val="1"/>
    </w:lvl>
  </w:abstractNum>
  <w:abstractNum w:abstractNumId="61">
    <w:nsid w:val="6A5EE64"/>
    <w:multiLevelType w:val="hybridMultilevel"/>
    <w:lvl w:ilvl="0">
      <w:lvlJc w:val="left"/>
      <w:lvlText w:val="%1)"/>
      <w:numFmt w:val="lowerLetter"/>
      <w:start w:val="2"/>
    </w:lvl>
  </w:abstractNum>
  <w:abstractNum w:abstractNumId="62">
    <w:nsid w:val="14330624"/>
    <w:multiLevelType w:val="hybridMultilevel"/>
    <w:lvl w:ilvl="0">
      <w:lvlJc w:val="left"/>
      <w:lvlText w:val="(%1)"/>
      <w:numFmt w:val="upperLetter"/>
      <w:start w:val="1"/>
    </w:lvl>
  </w:abstractNum>
  <w:abstractNum w:abstractNumId="63">
    <w:nsid w:val="7FFFCA11"/>
    <w:multiLevelType w:val="hybridMultilevel"/>
    <w:lvl w:ilvl="0">
      <w:lvlJc w:val="left"/>
      <w:lvlText w:val="(%1)"/>
      <w:numFmt w:val="upperLetter"/>
      <w:start w:val="24"/>
    </w:lvl>
  </w:abstractNum>
  <w:abstractNum w:abstractNumId="64">
    <w:nsid w:val="1A27709E"/>
    <w:multiLevelType w:val="hybridMultilevel"/>
    <w:lvl w:ilvl="0">
      <w:lvlJc w:val="left"/>
      <w:lvlText w:val="%1)"/>
      <w:numFmt w:val="lowerLetter"/>
      <w:start w:val="4"/>
    </w:lvl>
    <w:lvl w:ilvl="1">
      <w:lvlJc w:val="left"/>
      <w:lvlText w:val="%2."/>
      <w:numFmt w:val="lowerRoman"/>
      <w:start w:val="1"/>
    </w:lvl>
  </w:abstractNum>
  <w:abstractNum w:abstractNumId="65">
    <w:nsid w:val="71EA1109"/>
    <w:multiLevelType w:val="hybridMultilevel"/>
    <w:lvl w:ilvl="0">
      <w:lvlJc w:val="left"/>
      <w:lvlText w:val="%1"/>
      <w:numFmt w:val="upperLetter"/>
      <w:start w:val="1"/>
    </w:lvl>
    <w:lvl w:ilvl="1">
      <w:lvlJc w:val="left"/>
      <w:lvlText w:val="%2."/>
      <w:numFmt w:val="lowerRoman"/>
      <w:start w:val="3"/>
    </w:lvl>
  </w:abstractNum>
  <w:abstractNum w:abstractNumId="66">
    <w:nsid w:val="100F59DC"/>
    <w:multiLevelType w:val="hybridMultilevel"/>
    <w:lvl w:ilvl="0">
      <w:lvlJc w:val="left"/>
      <w:lvlText w:val="(%1)"/>
      <w:numFmt w:val="upperLetter"/>
      <w:start w:val="2"/>
    </w:lvl>
    <w:lvl w:ilvl="1">
      <w:lvlJc w:val="left"/>
      <w:lvlText w:val="%2"/>
      <w:numFmt w:val="lowerRoman"/>
      <w:start w:val="1"/>
    </w:lvl>
  </w:abstractNum>
  <w:abstractNum w:abstractNumId="67">
    <w:nsid w:val="7FB7E0AA"/>
    <w:multiLevelType w:val="hybridMultilevel"/>
    <w:lvl w:ilvl="0">
      <w:lvlJc w:val="left"/>
      <w:lvlText w:val="%1"/>
      <w:numFmt w:val="lowerLetter"/>
      <w:start w:val="1"/>
    </w:lvl>
    <w:lvl w:ilvl="1">
      <w:lvlJc w:val="left"/>
      <w:lvlText w:val="%2."/>
      <w:numFmt w:val="lowerRoman"/>
      <w:start w:val="6"/>
    </w:lvl>
  </w:abstractNum>
  <w:abstractNum w:abstractNumId="68">
    <w:nsid w:val="6EB5BD4"/>
    <w:multiLevelType w:val="hybridMultilevel"/>
    <w:lvl w:ilvl="0">
      <w:lvlJc w:val="left"/>
      <w:lvlText w:val="%1)"/>
      <w:numFmt w:val="lowerLetter"/>
      <w:start w:val="5"/>
    </w:lvl>
    <w:lvl w:ilvl="1">
      <w:lvlJc w:val="left"/>
      <w:lvlText w:val="%2"/>
      <w:numFmt w:val="lowerRoman"/>
      <w:start w:val="1"/>
    </w:lvl>
  </w:abstractNum>
  <w:abstractNum w:abstractNumId="69">
    <w:nsid w:val="6F6DD9AC"/>
    <w:multiLevelType w:val="hybridMultilevel"/>
    <w:lvl w:ilvl="0">
      <w:lvlJc w:val="left"/>
      <w:lvlText w:val="(%1)"/>
      <w:numFmt w:val="upperLetter"/>
      <w:start w:val="2"/>
    </w:lvl>
  </w:abstractNum>
  <w:abstractNum w:abstractNumId="70">
    <w:nsid w:val="94211F2"/>
    <w:multiLevelType w:val="hybridMultilevel"/>
    <w:lvl w:ilvl="0">
      <w:lvlJc w:val="left"/>
      <w:lvlText w:val="%1)"/>
      <w:numFmt w:val="lowerLetter"/>
      <w:start w:val="1"/>
    </w:lvl>
  </w:abstractNum>
  <w:abstractNum w:abstractNumId="71">
    <w:nsid w:val="885E1B"/>
    <w:multiLevelType w:val="hybridMultilevel"/>
    <w:lvl w:ilvl="0">
      <w:lvlJc w:val="left"/>
      <w:lvlText w:val="%1)"/>
      <w:numFmt w:val="lowerLetter"/>
      <w:start w:val="4"/>
    </w:lvl>
  </w:abstractNum>
  <w:abstractNum w:abstractNumId="72">
    <w:nsid w:val="76272110"/>
    <w:multiLevelType w:val="hybridMultilevel"/>
    <w:lvl w:ilvl="0">
      <w:lvlJc w:val="left"/>
      <w:lvlText w:val="%1)"/>
      <w:numFmt w:val="lowerLetter"/>
      <w:start w:val="6"/>
    </w:lvl>
    <w:lvl w:ilvl="1">
      <w:lvlJc w:val="left"/>
      <w:lvlText w:val="%2."/>
      <w:numFmt w:val="lowerRoman"/>
      <w:start w:val="1"/>
    </w:lvl>
  </w:abstractNum>
  <w:abstractNum w:abstractNumId="73">
    <w:nsid w:val="4C04A8AF"/>
    <w:multiLevelType w:val="hybridMultilevel"/>
    <w:lvl w:ilvl="0">
      <w:lvlJc w:val="left"/>
      <w:lvlText w:val="%1)"/>
      <w:numFmt w:val="lowerLetter"/>
      <w:start w:val="1"/>
    </w:lvl>
  </w:abstractNum>
  <w:abstractNum w:abstractNumId="74">
    <w:nsid w:val="1716703B"/>
    <w:multiLevelType w:val="hybridMultilevel"/>
    <w:lvl w:ilvl="0">
      <w:lvlJc w:val="left"/>
      <w:lvlText w:val="%1)"/>
      <w:numFmt w:val="lowerLetter"/>
      <w:start w:val="3"/>
    </w:lvl>
  </w:abstractNum>
  <w:abstractNum w:abstractNumId="75">
    <w:nsid w:val="14E17E33"/>
    <w:multiLevelType w:val="hybridMultilevel"/>
    <w:lvl w:ilvl="0">
      <w:lvlJc w:val="left"/>
      <w:lvlText w:val="%1)"/>
      <w:numFmt w:val="lowerLetter"/>
      <w:start w:val="1"/>
    </w:lvl>
  </w:abstractNum>
  <w:abstractNum w:abstractNumId="76">
    <w:nsid w:val="3222E7CD"/>
    <w:multiLevelType w:val="hybridMultilevel"/>
    <w:lvl w:ilvl="0">
      <w:lvlJc w:val="left"/>
      <w:lvlText w:val="%1)"/>
      <w:numFmt w:val="lowerLetter"/>
      <w:start w:val="5"/>
    </w:lvl>
  </w:abstractNum>
  <w:abstractNum w:abstractNumId="77">
    <w:nsid w:val="74DE0EE3"/>
    <w:multiLevelType w:val="hybridMultilevel"/>
    <w:lvl w:ilvl="0">
      <w:lvlJc w:val="left"/>
      <w:lvlText w:val="%1)"/>
      <w:numFmt w:val="lowerLetter"/>
      <w:start w:val="8"/>
    </w:lvl>
  </w:abstractNum>
  <w:abstractNum w:abstractNumId="78">
    <w:nsid w:val="68EBC550"/>
    <w:multiLevelType w:val="hybridMultilevel"/>
    <w:lvl w:ilvl="0">
      <w:lvlJc w:val="left"/>
      <w:lvlText w:val="(%1)"/>
      <w:numFmt w:val="decimal"/>
      <w:start w:val="1"/>
    </w:lvl>
  </w:abstractNum>
  <w:abstractNum w:abstractNumId="79">
    <w:nsid w:val="2DF6D648"/>
    <w:multiLevelType w:val="hybridMultilevel"/>
    <w:lvl w:ilvl="0">
      <w:lvlJc w:val="left"/>
      <w:lvlText w:val="%1)"/>
      <w:numFmt w:val="lowerLetter"/>
      <w:start w:val="6"/>
    </w:lvl>
  </w:abstractNum>
  <w:abstractNum w:abstractNumId="80">
    <w:nsid w:val="46B7D447"/>
    <w:multiLevelType w:val="hybridMultilevel"/>
    <w:lvl w:ilvl="0">
      <w:lvlJc w:val="left"/>
      <w:lvlText w:val="%1)"/>
      <w:numFmt w:val="lowerLetter"/>
      <w:start w:val="8"/>
    </w:lvl>
  </w:abstractNum>
  <w:abstractNum w:abstractNumId="81">
    <w:nsid w:val="4A2AC315"/>
    <w:multiLevelType w:val="hybridMultilevel"/>
    <w:lvl w:ilvl="0">
      <w:lvlJc w:val="left"/>
      <w:lvlText w:val="%1)"/>
      <w:numFmt w:val="lowerRoman"/>
      <w:start w:val="1"/>
    </w:lvl>
    <w:lvl w:ilvl="1">
      <w:lvlJc w:val="left"/>
      <w:lvlText w:val="%2."/>
      <w:numFmt w:val="lowerRoman"/>
      <w:start w:val="8"/>
    </w:lvl>
  </w:abstractNum>
  <w:abstractNum w:abstractNumId="82">
    <w:nsid w:val="39EE015C"/>
    <w:multiLevelType w:val="hybridMultilevel"/>
    <w:lvl w:ilvl="0">
      <w:lvlJc w:val="left"/>
      <w:lvlText w:val="%1."/>
      <w:numFmt w:val="lowerRoman"/>
      <w:start w:val="9"/>
    </w:lvl>
  </w:abstractNum>
  <w:abstractNum w:abstractNumId="83">
    <w:nsid w:val="57FC4FBB"/>
    <w:multiLevelType w:val="hybridMultilevel"/>
    <w:lvl w:ilvl="0">
      <w:lvlJc w:val="left"/>
      <w:lvlText w:val="%1"/>
      <w:numFmt w:val="lowerLetter"/>
      <w:start w:val="1"/>
    </w:lvl>
    <w:lvl w:ilvl="1">
      <w:lvlJc w:val="left"/>
      <w:lvlText w:val="%2."/>
      <w:numFmt w:val="lowerRoman"/>
      <w:start w:val="12"/>
    </w:lvl>
  </w:abstractNum>
  <w:abstractNum w:abstractNumId="84">
    <w:nsid w:val="CC1016F"/>
    <w:multiLevelType w:val="hybridMultilevel"/>
    <w:lvl w:ilvl="0">
      <w:lvlJc w:val="left"/>
      <w:lvlText w:val="%1)"/>
      <w:numFmt w:val="lowerLetter"/>
      <w:start w:val="10"/>
    </w:lvl>
    <w:lvl w:ilvl="1">
      <w:lvlJc w:val="left"/>
      <w:lvlText w:val="%2"/>
      <w:numFmt w:val="lowerRoman"/>
      <w:start w:val="1"/>
    </w:lvl>
  </w:abstractNum>
  <w:abstractNum w:abstractNumId="85">
    <w:nsid w:val="43F18422"/>
    <w:multiLevelType w:val="hybridMultilevel"/>
    <w:lvl w:ilvl="0">
      <w:lvlJc w:val="left"/>
      <w:lvlText w:val="%1)"/>
      <w:numFmt w:val="lowerLetter"/>
      <w:start w:val="8"/>
    </w:lvl>
  </w:abstractNum>
  <w:abstractNum w:abstractNumId="86">
    <w:nsid w:val="60EF0119"/>
    <w:multiLevelType w:val="hybridMultilevel"/>
    <w:lvl w:ilvl="0">
      <w:lvlJc w:val="left"/>
      <w:lvlText w:val="%1)"/>
      <w:numFmt w:val="lowerLetter"/>
      <w:start w:val="11"/>
    </w:lvl>
  </w:abstractNum>
  <w:abstractNum w:abstractNumId="87">
    <w:nsid w:val="26F324BA"/>
    <w:multiLevelType w:val="hybridMultilevel"/>
    <w:lvl w:ilvl="0">
      <w:lvlJc w:val="left"/>
      <w:lvlText w:val="(%1)"/>
      <w:numFmt w:val="lowerRoman"/>
      <w:start w:val="2"/>
    </w:lvl>
    <w:lvl w:ilvl="1">
      <w:lvlJc w:val="left"/>
      <w:lvlText w:val="%2)"/>
      <w:numFmt w:val="lowerLetter"/>
      <w:start w:val="13"/>
    </w:lvl>
    <w:lvl w:ilvl="2">
      <w:lvlJc w:val="left"/>
      <w:lvlText w:val="%3."/>
      <w:numFmt w:val="lowerRoman"/>
      <w:start w:val="1"/>
    </w:lvl>
  </w:abstractNum>
  <w:abstractNum w:abstractNumId="88">
    <w:nsid w:val="7F01579B"/>
    <w:multiLevelType w:val="hybridMultilevel"/>
    <w:lvl w:ilvl="0">
      <w:lvlJc w:val="left"/>
      <w:lvlText w:val="%1)"/>
      <w:numFmt w:val="lowerLetter"/>
      <w:start w:val="4"/>
    </w:lvl>
  </w:abstractNum>
  <w:abstractNum w:abstractNumId="89">
    <w:nsid w:val="49DA307D"/>
    <w:multiLevelType w:val="hybridMultilevel"/>
    <w:lvl w:ilvl="0">
      <w:lvlJc w:val="left"/>
      <w:lvlText w:val="%1)"/>
      <w:numFmt w:val="lowerLetter"/>
      <w:start w:val="5"/>
    </w:lvl>
  </w:abstractNum>
  <w:abstractNum w:abstractNumId="90">
    <w:nsid w:val="7055A5F5"/>
    <w:multiLevelType w:val="hybridMultilevel"/>
    <w:lvl w:ilvl="0">
      <w:lvlJc w:val="left"/>
      <w:lvlText w:val="%1)"/>
      <w:numFmt w:val="lowerLetter"/>
      <w:start w:val="15"/>
    </w:lvl>
  </w:abstractNum>
  <w:abstractNum w:abstractNumId="91">
    <w:nsid w:val="5FB8370B"/>
    <w:multiLevelType w:val="hybridMultilevel"/>
    <w:lvl w:ilvl="0">
      <w:lvlJc w:val="left"/>
      <w:lvlText w:val="%1)"/>
      <w:numFmt w:val="lowerLetter"/>
      <w:start w:val="19"/>
    </w:lvl>
  </w:abstractNum>
  <w:abstractNum w:abstractNumId="92">
    <w:nsid w:val="50801EE1"/>
    <w:multiLevelType w:val="hybridMultilevel"/>
    <w:lvl w:ilvl="0">
      <w:lvlJc w:val="left"/>
      <w:lvlText w:val="%1)"/>
      <w:numFmt w:val="lowerLetter"/>
      <w:start w:val="20"/>
    </w:lvl>
  </w:abstractNum>
  <w:abstractNum w:abstractNumId="93">
    <w:nsid w:val="488AC1A"/>
    <w:multiLevelType w:val="hybridMultilevel"/>
    <w:lvl w:ilvl="0">
      <w:lvlJc w:val="left"/>
      <w:lvlText w:val="%1)"/>
      <w:numFmt w:val="lowerLetter"/>
      <w:start w:val="27"/>
    </w:lvl>
  </w:abstractNum>
  <w:abstractNum w:abstractNumId="94">
    <w:nsid w:val="5FB8011C"/>
    <w:multiLevelType w:val="hybridMultilevel"/>
    <w:lvl w:ilvl="0">
      <w:lvlJc w:val="left"/>
      <w:lvlText w:val="(%1)"/>
      <w:numFmt w:val="decimal"/>
      <w:start w:val="4"/>
    </w:lvl>
  </w:abstractNum>
  <w:abstractNum w:abstractNumId="95">
    <w:nsid w:val="6AA78F7F"/>
    <w:multiLevelType w:val="hybridMultilevel"/>
    <w:lvl w:ilvl="0">
      <w:lvlJc w:val="left"/>
      <w:lvlText w:val="(%1)"/>
      <w:numFmt w:val="decimal"/>
      <w:start w:val="6"/>
    </w:lvl>
  </w:abstractNum>
  <w:abstractNum w:abstractNumId="96">
    <w:nsid w:val="7672BD23"/>
    <w:multiLevelType w:val="hybridMultilevel"/>
    <w:lvl w:ilvl="0">
      <w:lvlJc w:val="left"/>
      <w:lvlText w:val="(%1)"/>
      <w:numFmt w:val="decimal"/>
      <w:start w:val="1"/>
    </w:lvl>
  </w:abstractNum>
  <w:abstractNum w:abstractNumId="97">
    <w:nsid w:val="6FC75AF8"/>
    <w:multiLevelType w:val="hybridMultilevel"/>
    <w:lvl w:ilvl="0">
      <w:lvlJc w:val="left"/>
      <w:lvlText w:val="(%1)"/>
      <w:numFmt w:val="decimal"/>
      <w:start w:val="3"/>
    </w:lvl>
  </w:abstractNum>
  <w:abstractNum w:abstractNumId="98">
    <w:nsid w:val="6A5F7029"/>
    <w:multiLevelType w:val="hybridMultilevel"/>
    <w:lvl w:ilvl="0">
      <w:lvlJc w:val="left"/>
      <w:lvlText w:val="(%1)"/>
      <w:numFmt w:val="lowerRoman"/>
      <w:start w:val="1"/>
    </w:lvl>
  </w:abstractNum>
  <w:abstractNum w:abstractNumId="99">
    <w:nsid w:val="7D5E18F8"/>
    <w:multiLevelType w:val="hybridMultilevel"/>
    <w:lvl w:ilvl="0">
      <w:lvlJc w:val="left"/>
      <w:lvlText w:val="%1."/>
      <w:numFmt w:val="upperLetter"/>
      <w:start w:val="1"/>
    </w:lvl>
  </w:abstractNum>
  <w:abstractNum w:abstractNumId="100">
    <w:nsid w:val="5F3534A4"/>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2025-02-11T15:34:08Z</dcterms:created>
  <dcterms:modified xsi:type="dcterms:W3CDTF">2025-02-11T15:34:08Z</dcterms:modified>
</cp:coreProperties>
</file>