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HALE BRETT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HYPERFINE,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351 NEW WHITFIELD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GUILFORD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Hyperfine, Inc.</w:t>
              </w:r>
            </w:hyperlink>
            <w:r>
              <w:rPr/>
              <w:t xml:space="preserve"> [ </w:t>
            </w:r>
            <w:r>
              <w:rPr>
                <w:rFonts w:ascii="Times;serif" w:hAnsi="Times;serif"/>
                <w:color w:val="0000FF"/>
                <w:sz w:val="24"/>
                <w:shd w:fill="FFFFFF" w:val="clear"/>
              </w:rPr>
              <w:t>HYPR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Each RSU represents the right to receive one share of Class A common stock upon vesting. The RSUs vest 25% on March 23, 2026, with the remainder vesting in equal quarterly installment over the following three years, subject to the employee's continued service to the Company through the applicable vesting dates, subject to Mr. Hale's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Hale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293" TargetMode="External"/><Relationship Id="rId5" Type="http://schemas.openxmlformats.org/officeDocument/2006/relationships/hyperlink" Target="http://www.sec.gov/cgi-bin/browse-edgar?action=getcompany&amp;CIK=0001833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3406</Characters>
  <CharactersWithSpaces>3977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