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200" w:lineRule="exact"/>
        <w:rPr>
          <w:sz w:val="24"/>
          <w:szCs w:val="24"/>
          <w:color w:val="auto"/>
        </w:rPr>
      </w:pPr>
      <w:r>
        <w:rPr>
          <w:sz w:val="24"/>
          <w:szCs w:val="24"/>
          <w:color w:val="auto"/>
        </w:rPr>
        <w:drawing>
          <wp:anchor simplePos="0" relativeHeight="251657728" behindDoc="1" locked="0" layoutInCell="0" allowOverlap="1">
            <wp:simplePos x="0" y="0"/>
            <wp:positionH relativeFrom="page">
              <wp:posOffset>208280</wp:posOffset>
            </wp:positionH>
            <wp:positionV relativeFrom="page">
              <wp:posOffset>980440</wp:posOffset>
            </wp:positionV>
            <wp:extent cx="713232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997585</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2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UNITED STATES</w:t>
      </w:r>
    </w:p>
    <w:p>
      <w:pPr>
        <w:spacing w:after="0" w:line="3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jc w:val="center"/>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132715</wp:posOffset>
            </wp:positionV>
            <wp:extent cx="1423035"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3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165100</wp:posOffset>
            </wp:positionV>
            <wp:extent cx="1423035"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38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CURRENT REPORT</w:t>
      </w:r>
    </w:p>
    <w:p>
      <w:pPr>
        <w:spacing w:after="0" w:line="15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Pursuant to Section 13 or 15(d) of the Securities Exchange Act of 1934</w:t>
      </w:r>
    </w:p>
    <w:p>
      <w:pPr>
        <w:spacing w:after="0" w:line="107" w:lineRule="exact"/>
        <w:rPr>
          <w:sz w:val="24"/>
          <w:szCs w:val="24"/>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Date of Report (Date of earliest event reported): March 18, 2026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217170</wp:posOffset>
            </wp:positionV>
            <wp:extent cx="142303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23035" cy="8890"/>
                    </a:xfrm>
                    <a:prstGeom prst="rect">
                      <a:avLst/>
                    </a:prstGeom>
                    <a:noFill/>
                  </pic:spPr>
                </pic:pic>
              </a:graphicData>
            </a:graphic>
          </wp:anchor>
        </w:drawing>
      </w:r>
    </w:p>
    <w:p>
      <w:pPr>
        <w:spacing w:after="0" w:line="200" w:lineRule="exact"/>
        <w:rPr>
          <w:sz w:val="24"/>
          <w:szCs w:val="24"/>
          <w:color w:val="auto"/>
        </w:rPr>
      </w:pPr>
    </w:p>
    <w:p>
      <w:pPr>
        <w:spacing w:after="0" w:line="38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43"/>
          <w:szCs w:val="43"/>
          <w:b w:val="1"/>
          <w:bCs w:val="1"/>
          <w:color w:val="auto"/>
        </w:rPr>
        <w:t>Hyperfine, Inc.</w:t>
      </w:r>
    </w:p>
    <w:p>
      <w:pPr>
        <w:spacing w:after="0" w:line="9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3"/>
          <w:szCs w:val="13"/>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250190</wp:posOffset>
            </wp:positionV>
            <wp:extent cx="142303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200" w:lineRule="exact"/>
        <w:rPr>
          <w:sz w:val="24"/>
          <w:szCs w:val="24"/>
          <w:color w:val="auto"/>
        </w:rPr>
      </w:pPr>
    </w:p>
    <w:p>
      <w:pPr>
        <w:spacing w:after="0" w:line="381" w:lineRule="exact"/>
        <w:rPr>
          <w:sz w:val="24"/>
          <w:szCs w:val="24"/>
          <w:color w:val="auto"/>
        </w:rPr>
      </w:pPr>
    </w:p>
    <w:tbl>
      <w:tblPr>
        <w:tblLayout w:type="fixed"/>
        <w:tblInd w:w="1160" w:type="dxa"/>
        <w:tblCellMar>
          <w:top w:w="0" w:type="dxa"/>
          <w:left w:w="0" w:type="dxa"/>
          <w:bottom w:w="0" w:type="dxa"/>
          <w:right w:w="0" w:type="dxa"/>
        </w:tblCellMar>
      </w:tblPr>
      <w:tr>
        <w:trPr>
          <w:trHeight w:val="222"/>
        </w:trPr>
        <w:tc>
          <w:tcPr>
            <w:tcW w:w="3000" w:type="dxa"/>
            <w:vAlign w:val="bottom"/>
          </w:tcPr>
          <w:p>
            <w:pPr>
              <w:jc w:val="center"/>
              <w:ind w:right="601"/>
              <w:spacing w:after="0"/>
              <w:rPr>
                <w:sz w:val="20"/>
                <w:szCs w:val="20"/>
                <w:color w:val="auto"/>
              </w:rPr>
            </w:pPr>
            <w:r>
              <w:rPr>
                <w:rFonts w:ascii="Times New Roman" w:cs="Times New Roman" w:eastAsia="Times New Roman" w:hAnsi="Times New Roman"/>
                <w:sz w:val="18"/>
                <w:szCs w:val="18"/>
                <w:b w:val="1"/>
                <w:bCs w:val="1"/>
                <w:color w:val="auto"/>
                <w:w w:val="98"/>
              </w:rPr>
              <w:t>Delaware</w:t>
            </w:r>
          </w:p>
        </w:tc>
        <w:tc>
          <w:tcPr>
            <w:tcW w:w="3260" w:type="dxa"/>
            <w:vAlign w:val="bottom"/>
          </w:tcPr>
          <w:p>
            <w:pPr>
              <w:jc w:val="right"/>
              <w:ind w:right="1321"/>
              <w:spacing w:after="0"/>
              <w:rPr>
                <w:sz w:val="20"/>
                <w:szCs w:val="20"/>
                <w:color w:val="auto"/>
              </w:rPr>
            </w:pPr>
            <w:r>
              <w:rPr>
                <w:rFonts w:ascii="Times New Roman" w:cs="Times New Roman" w:eastAsia="Times New Roman" w:hAnsi="Times New Roman"/>
                <w:sz w:val="18"/>
                <w:szCs w:val="18"/>
                <w:b w:val="1"/>
                <w:bCs w:val="1"/>
                <w:color w:val="auto"/>
              </w:rPr>
              <w:t>001-39949</w:t>
            </w:r>
          </w:p>
        </w:tc>
        <w:tc>
          <w:tcPr>
            <w:tcW w:w="2040" w:type="dxa"/>
            <w:vAlign w:val="bottom"/>
          </w:tcPr>
          <w:p>
            <w:pPr>
              <w:jc w:val="right"/>
              <w:ind w:right="4"/>
              <w:spacing w:after="0"/>
              <w:rPr>
                <w:sz w:val="20"/>
                <w:szCs w:val="20"/>
                <w:color w:val="auto"/>
              </w:rPr>
            </w:pPr>
            <w:r>
              <w:rPr>
                <w:rFonts w:ascii="Times New Roman" w:cs="Times New Roman" w:eastAsia="Times New Roman" w:hAnsi="Times New Roman"/>
                <w:sz w:val="18"/>
                <w:szCs w:val="18"/>
                <w:b w:val="1"/>
                <w:bCs w:val="1"/>
                <w:color w:val="auto"/>
              </w:rPr>
              <w:t>98-1569027</w:t>
            </w:r>
          </w:p>
        </w:tc>
      </w:tr>
      <w:tr>
        <w:trPr>
          <w:trHeight w:val="149"/>
        </w:trPr>
        <w:tc>
          <w:tcPr>
            <w:tcW w:w="3000" w:type="dxa"/>
            <w:vAlign w:val="bottom"/>
          </w:tcPr>
          <w:p>
            <w:pPr>
              <w:jc w:val="center"/>
              <w:ind w:right="601"/>
              <w:spacing w:after="0"/>
              <w:rPr>
                <w:sz w:val="20"/>
                <w:szCs w:val="20"/>
                <w:color w:val="auto"/>
              </w:rPr>
            </w:pPr>
            <w:r>
              <w:rPr>
                <w:rFonts w:ascii="Times New Roman" w:cs="Times New Roman" w:eastAsia="Times New Roman" w:hAnsi="Times New Roman"/>
                <w:sz w:val="13"/>
                <w:szCs w:val="13"/>
                <w:b w:val="1"/>
                <w:bCs w:val="1"/>
                <w:color w:val="auto"/>
              </w:rPr>
              <w:t>(State or Other Jurisdiction</w:t>
            </w:r>
          </w:p>
        </w:tc>
        <w:tc>
          <w:tcPr>
            <w:tcW w:w="3260" w:type="dxa"/>
            <w:vAlign w:val="bottom"/>
          </w:tcPr>
          <w:p>
            <w:pPr>
              <w:jc w:val="center"/>
              <w:ind w:right="241"/>
              <w:spacing w:after="0"/>
              <w:rPr>
                <w:sz w:val="20"/>
                <w:szCs w:val="20"/>
                <w:color w:val="auto"/>
              </w:rPr>
            </w:pPr>
            <w:r>
              <w:rPr>
                <w:rFonts w:ascii="Times New Roman" w:cs="Times New Roman" w:eastAsia="Times New Roman" w:hAnsi="Times New Roman"/>
                <w:sz w:val="13"/>
                <w:szCs w:val="13"/>
                <w:b w:val="1"/>
                <w:bCs w:val="1"/>
                <w:color w:val="auto"/>
              </w:rPr>
              <w:t>(Commission File Number)</w:t>
            </w:r>
          </w:p>
        </w:tc>
        <w:tc>
          <w:tcPr>
            <w:tcW w:w="2040" w:type="dxa"/>
            <w:vAlign w:val="bottom"/>
          </w:tcPr>
          <w:p>
            <w:pPr>
              <w:jc w:val="center"/>
              <w:ind w:left="924"/>
              <w:spacing w:after="0"/>
              <w:rPr>
                <w:sz w:val="20"/>
                <w:szCs w:val="20"/>
                <w:color w:val="auto"/>
              </w:rPr>
            </w:pPr>
            <w:r>
              <w:rPr>
                <w:rFonts w:ascii="Times New Roman" w:cs="Times New Roman" w:eastAsia="Times New Roman" w:hAnsi="Times New Roman"/>
                <w:sz w:val="13"/>
                <w:szCs w:val="13"/>
                <w:b w:val="1"/>
                <w:bCs w:val="1"/>
                <w:color w:val="auto"/>
              </w:rPr>
              <w:t>(IRS Employer</w:t>
            </w:r>
          </w:p>
        </w:tc>
      </w:tr>
      <w:tr>
        <w:trPr>
          <w:trHeight w:val="178"/>
        </w:trPr>
        <w:tc>
          <w:tcPr>
            <w:tcW w:w="3000" w:type="dxa"/>
            <w:vAlign w:val="bottom"/>
          </w:tcPr>
          <w:p>
            <w:pPr>
              <w:jc w:val="center"/>
              <w:ind w:right="601"/>
              <w:spacing w:after="0"/>
              <w:rPr>
                <w:sz w:val="20"/>
                <w:szCs w:val="20"/>
                <w:color w:val="auto"/>
              </w:rPr>
            </w:pPr>
            <w:r>
              <w:rPr>
                <w:rFonts w:ascii="Times New Roman" w:cs="Times New Roman" w:eastAsia="Times New Roman" w:hAnsi="Times New Roman"/>
                <w:sz w:val="13"/>
                <w:szCs w:val="13"/>
                <w:b w:val="1"/>
                <w:bCs w:val="1"/>
                <w:color w:val="auto"/>
              </w:rPr>
              <w:t>of Incorporation)</w:t>
            </w:r>
          </w:p>
        </w:tc>
        <w:tc>
          <w:tcPr>
            <w:tcW w:w="3260" w:type="dxa"/>
            <w:vAlign w:val="bottom"/>
          </w:tcPr>
          <w:p>
            <w:pPr>
              <w:spacing w:after="0"/>
              <w:rPr>
                <w:sz w:val="15"/>
                <w:szCs w:val="15"/>
                <w:color w:val="auto"/>
              </w:rPr>
            </w:pPr>
          </w:p>
        </w:tc>
        <w:tc>
          <w:tcPr>
            <w:tcW w:w="2040" w:type="dxa"/>
            <w:vAlign w:val="bottom"/>
          </w:tcPr>
          <w:p>
            <w:pPr>
              <w:jc w:val="center"/>
              <w:ind w:left="904"/>
              <w:spacing w:after="0"/>
              <w:rPr>
                <w:sz w:val="20"/>
                <w:szCs w:val="20"/>
                <w:color w:val="auto"/>
              </w:rPr>
            </w:pPr>
            <w:r>
              <w:rPr>
                <w:rFonts w:ascii="Times New Roman" w:cs="Times New Roman" w:eastAsia="Times New Roman" w:hAnsi="Times New Roman"/>
                <w:sz w:val="13"/>
                <w:szCs w:val="13"/>
                <w:b w:val="1"/>
                <w:bCs w:val="1"/>
                <w:color w:val="auto"/>
              </w:rPr>
              <w:t>Identification No.)</w:t>
            </w:r>
          </w:p>
        </w:tc>
      </w:tr>
      <w:tr>
        <w:trPr>
          <w:trHeight w:val="397"/>
        </w:trPr>
        <w:tc>
          <w:tcPr>
            <w:tcW w:w="3000" w:type="dxa"/>
            <w:vAlign w:val="bottom"/>
          </w:tcPr>
          <w:p>
            <w:pPr>
              <w:jc w:val="center"/>
              <w:ind w:right="621"/>
              <w:spacing w:after="0"/>
              <w:rPr>
                <w:sz w:val="20"/>
                <w:szCs w:val="20"/>
                <w:color w:val="auto"/>
              </w:rPr>
            </w:pPr>
            <w:r>
              <w:rPr>
                <w:rFonts w:ascii="Times New Roman" w:cs="Times New Roman" w:eastAsia="Times New Roman" w:hAnsi="Times New Roman"/>
                <w:sz w:val="18"/>
                <w:szCs w:val="18"/>
                <w:b w:val="1"/>
                <w:bCs w:val="1"/>
                <w:color w:val="auto"/>
              </w:rPr>
              <w:t>351 New Whitfield Street</w:t>
            </w:r>
          </w:p>
        </w:tc>
        <w:tc>
          <w:tcPr>
            <w:tcW w:w="3260" w:type="dxa"/>
            <w:vAlign w:val="bottom"/>
          </w:tcPr>
          <w:p>
            <w:pPr>
              <w:spacing w:after="0"/>
              <w:rPr>
                <w:sz w:val="24"/>
                <w:szCs w:val="24"/>
                <w:color w:val="auto"/>
              </w:rPr>
            </w:pPr>
          </w:p>
        </w:tc>
        <w:tc>
          <w:tcPr>
            <w:tcW w:w="2040" w:type="dxa"/>
            <w:vAlign w:val="bottom"/>
          </w:tcPr>
          <w:p>
            <w:pPr>
              <w:spacing w:after="0"/>
              <w:rPr>
                <w:sz w:val="24"/>
                <w:szCs w:val="24"/>
                <w:color w:val="auto"/>
              </w:rPr>
            </w:pPr>
          </w:p>
        </w:tc>
      </w:tr>
      <w:tr>
        <w:trPr>
          <w:trHeight w:val="222"/>
        </w:trPr>
        <w:tc>
          <w:tcPr>
            <w:tcW w:w="3000" w:type="dxa"/>
            <w:vAlign w:val="bottom"/>
          </w:tcPr>
          <w:p>
            <w:pPr>
              <w:jc w:val="center"/>
              <w:ind w:right="601"/>
              <w:spacing w:after="0"/>
              <w:rPr>
                <w:sz w:val="20"/>
                <w:szCs w:val="20"/>
                <w:color w:val="auto"/>
              </w:rPr>
            </w:pPr>
            <w:r>
              <w:rPr>
                <w:rFonts w:ascii="Times New Roman" w:cs="Times New Roman" w:eastAsia="Times New Roman" w:hAnsi="Times New Roman"/>
                <w:sz w:val="18"/>
                <w:szCs w:val="18"/>
                <w:b w:val="1"/>
                <w:bCs w:val="1"/>
                <w:color w:val="auto"/>
                <w:w w:val="99"/>
              </w:rPr>
              <w:t>Guilford, Connecticut</w:t>
            </w:r>
          </w:p>
        </w:tc>
        <w:tc>
          <w:tcPr>
            <w:tcW w:w="3260" w:type="dxa"/>
            <w:vAlign w:val="bottom"/>
          </w:tcPr>
          <w:p>
            <w:pPr>
              <w:spacing w:after="0"/>
              <w:rPr>
                <w:sz w:val="19"/>
                <w:szCs w:val="19"/>
                <w:color w:val="auto"/>
              </w:rPr>
            </w:pPr>
          </w:p>
        </w:tc>
        <w:tc>
          <w:tcPr>
            <w:tcW w:w="2040" w:type="dxa"/>
            <w:vAlign w:val="bottom"/>
          </w:tcPr>
          <w:p>
            <w:pPr>
              <w:jc w:val="right"/>
              <w:ind w:right="224"/>
              <w:spacing w:after="0"/>
              <w:rPr>
                <w:sz w:val="20"/>
                <w:szCs w:val="20"/>
                <w:color w:val="auto"/>
              </w:rPr>
            </w:pPr>
            <w:r>
              <w:rPr>
                <w:rFonts w:ascii="Times New Roman" w:cs="Times New Roman" w:eastAsia="Times New Roman" w:hAnsi="Times New Roman"/>
                <w:sz w:val="18"/>
                <w:szCs w:val="18"/>
                <w:b w:val="1"/>
                <w:bCs w:val="1"/>
                <w:color w:val="auto"/>
              </w:rPr>
              <w:t>06437</w:t>
            </w:r>
          </w:p>
        </w:tc>
      </w:tr>
      <w:tr>
        <w:trPr>
          <w:trHeight w:val="178"/>
        </w:trPr>
        <w:tc>
          <w:tcPr>
            <w:tcW w:w="3000" w:type="dxa"/>
            <w:vAlign w:val="bottom"/>
          </w:tcPr>
          <w:p>
            <w:pPr>
              <w:jc w:val="center"/>
              <w:ind w:right="601"/>
              <w:spacing w:after="0"/>
              <w:rPr>
                <w:sz w:val="20"/>
                <w:szCs w:val="20"/>
                <w:color w:val="auto"/>
              </w:rPr>
            </w:pPr>
            <w:r>
              <w:rPr>
                <w:rFonts w:ascii="Times New Roman" w:cs="Times New Roman" w:eastAsia="Times New Roman" w:hAnsi="Times New Roman"/>
                <w:sz w:val="13"/>
                <w:szCs w:val="13"/>
                <w:b w:val="1"/>
                <w:bCs w:val="1"/>
                <w:color w:val="auto"/>
              </w:rPr>
              <w:t>(Address of Principal Executive Offices)</w:t>
            </w:r>
          </w:p>
        </w:tc>
        <w:tc>
          <w:tcPr>
            <w:tcW w:w="3260" w:type="dxa"/>
            <w:vAlign w:val="bottom"/>
          </w:tcPr>
          <w:p>
            <w:pPr>
              <w:spacing w:after="0"/>
              <w:rPr>
                <w:sz w:val="15"/>
                <w:szCs w:val="15"/>
                <w:color w:val="auto"/>
              </w:rPr>
            </w:pPr>
          </w:p>
        </w:tc>
        <w:tc>
          <w:tcPr>
            <w:tcW w:w="2040" w:type="dxa"/>
            <w:vAlign w:val="bottom"/>
          </w:tcPr>
          <w:p>
            <w:pPr>
              <w:jc w:val="center"/>
              <w:ind w:left="924"/>
              <w:spacing w:after="0"/>
              <w:rPr>
                <w:sz w:val="20"/>
                <w:szCs w:val="20"/>
                <w:color w:val="auto"/>
              </w:rPr>
            </w:pPr>
            <w:r>
              <w:rPr>
                <w:rFonts w:ascii="Times New Roman" w:cs="Times New Roman" w:eastAsia="Times New Roman" w:hAnsi="Times New Roman"/>
                <w:sz w:val="13"/>
                <w:szCs w:val="13"/>
                <w:b w:val="1"/>
                <w:bCs w:val="1"/>
                <w:color w:val="auto"/>
              </w:rPr>
              <w:t>(Zip Code)</w:t>
            </w:r>
          </w:p>
        </w:tc>
      </w:tr>
    </w:tbl>
    <w:p>
      <w:pPr>
        <w:spacing w:after="0" w:line="200" w:lineRule="exact"/>
        <w:rPr>
          <w:sz w:val="24"/>
          <w:szCs w:val="24"/>
          <w:color w:val="auto"/>
        </w:rPr>
      </w:pPr>
    </w:p>
    <w:p>
      <w:pPr>
        <w:spacing w:after="0" w:line="210" w:lineRule="exact"/>
        <w:rPr>
          <w:sz w:val="24"/>
          <w:szCs w:val="24"/>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Registrant’s Telephone Number, Including Area Code: (866) 796-6767</w:t>
      </w:r>
    </w:p>
    <w:p>
      <w:pPr>
        <w:spacing w:after="0" w:line="38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N/A</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3"/>
          <w:szCs w:val="13"/>
          <w:b w:val="1"/>
          <w:bCs w:val="1"/>
          <w:color w:val="auto"/>
        </w:rPr>
        <w:t>(Former Name or Former Address,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248285</wp:posOffset>
            </wp:positionV>
            <wp:extent cx="142303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200" w:lineRule="exact"/>
        <w:rPr>
          <w:sz w:val="24"/>
          <w:szCs w:val="24"/>
          <w:color w:val="auto"/>
        </w:rPr>
      </w:pPr>
    </w:p>
    <w:p>
      <w:pPr>
        <w:spacing w:after="0" w:line="328" w:lineRule="exact"/>
        <w:rPr>
          <w:sz w:val="24"/>
          <w:szCs w:val="24"/>
          <w:color w:val="auto"/>
        </w:rPr>
      </w:pPr>
    </w:p>
    <w:p>
      <w:pPr>
        <w:ind w:right="680"/>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w:t>
      </w:r>
    </w:p>
    <w:p>
      <w:pPr>
        <w:spacing w:after="0" w:line="54" w:lineRule="exact"/>
        <w:rPr>
          <w:sz w:val="24"/>
          <w:szCs w:val="24"/>
          <w:color w:val="auto"/>
        </w:rPr>
      </w:pPr>
    </w:p>
    <w:p>
      <w:pPr>
        <w:ind w:left="380" w:hanging="372"/>
        <w:spacing w:after="0"/>
        <w:tabs>
          <w:tab w:leader="none" w:pos="38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117" w:lineRule="exact"/>
        <w:rPr>
          <w:rFonts w:ascii="MS PGothic" w:cs="MS PGothic" w:eastAsia="MS PGothic" w:hAnsi="MS PGothic"/>
          <w:sz w:val="18"/>
          <w:szCs w:val="18"/>
          <w:color w:val="auto"/>
        </w:rPr>
      </w:pPr>
    </w:p>
    <w:p>
      <w:pPr>
        <w:ind w:left="380" w:hanging="372"/>
        <w:spacing w:after="0"/>
        <w:tabs>
          <w:tab w:leader="none" w:pos="38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117" w:lineRule="exact"/>
        <w:rPr>
          <w:rFonts w:ascii="MS PGothic" w:cs="MS PGothic" w:eastAsia="MS PGothic" w:hAnsi="MS PGothic"/>
          <w:sz w:val="18"/>
          <w:szCs w:val="18"/>
          <w:color w:val="auto"/>
        </w:rPr>
      </w:pPr>
    </w:p>
    <w:p>
      <w:pPr>
        <w:ind w:left="380" w:hanging="372"/>
        <w:spacing w:after="0"/>
        <w:tabs>
          <w:tab w:leader="none" w:pos="38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117" w:lineRule="exact"/>
        <w:rPr>
          <w:rFonts w:ascii="MS PGothic" w:cs="MS PGothic" w:eastAsia="MS PGothic" w:hAnsi="MS PGothic"/>
          <w:sz w:val="18"/>
          <w:szCs w:val="18"/>
          <w:color w:val="auto"/>
        </w:rPr>
      </w:pPr>
    </w:p>
    <w:p>
      <w:pPr>
        <w:ind w:left="380" w:hanging="372"/>
        <w:spacing w:after="0"/>
        <w:tabs>
          <w:tab w:leader="none" w:pos="38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w:t>
      </w:r>
    </w:p>
    <w:p>
      <w:pPr>
        <w:spacing w:after="0" w:line="16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Securities registered pursuant to Section 12(b) of the Act:</w:t>
      </w:r>
    </w:p>
    <w:p>
      <w:pPr>
        <w:spacing w:after="0" w:line="171" w:lineRule="exact"/>
        <w:rPr>
          <w:sz w:val="24"/>
          <w:szCs w:val="24"/>
          <w:color w:val="auto"/>
        </w:rPr>
      </w:pPr>
    </w:p>
    <w:tbl>
      <w:tblPr>
        <w:tblLayout w:type="fixed"/>
        <w:tblInd w:w="0" w:type="dxa"/>
        <w:tblCellMar>
          <w:top w:w="0" w:type="dxa"/>
          <w:left w:w="0" w:type="dxa"/>
          <w:bottom w:w="0" w:type="dxa"/>
          <w:right w:w="0" w:type="dxa"/>
        </w:tblCellMar>
      </w:tblPr>
      <w:tr>
        <w:trPr>
          <w:trHeight w:val="216"/>
        </w:trPr>
        <w:tc>
          <w:tcPr>
            <w:tcW w:w="4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Trading</w:t>
            </w:r>
          </w:p>
        </w:tc>
        <w:tc>
          <w:tcPr>
            <w:tcW w:w="120" w:type="dxa"/>
            <w:vAlign w:val="bottom"/>
          </w:tcPr>
          <w:p>
            <w:pPr>
              <w:spacing w:after="0"/>
              <w:rPr>
                <w:sz w:val="18"/>
                <w:szCs w:val="18"/>
                <w:color w:val="auto"/>
              </w:rPr>
            </w:pPr>
          </w:p>
        </w:tc>
        <w:tc>
          <w:tcPr>
            <w:tcW w:w="5040" w:type="dxa"/>
            <w:vAlign w:val="bottom"/>
          </w:tcPr>
          <w:p>
            <w:pPr>
              <w:spacing w:after="0"/>
              <w:rPr>
                <w:sz w:val="18"/>
                <w:szCs w:val="18"/>
                <w:color w:val="auto"/>
              </w:rPr>
            </w:pPr>
          </w:p>
        </w:tc>
      </w:tr>
      <w:tr>
        <w:trPr>
          <w:trHeight w:val="238"/>
        </w:trPr>
        <w:tc>
          <w:tcPr>
            <w:tcW w:w="42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Title of each class</w:t>
            </w:r>
          </w:p>
        </w:tc>
        <w:tc>
          <w:tcPr>
            <w:tcW w:w="120" w:type="dxa"/>
            <w:vAlign w:val="bottom"/>
          </w:tcPr>
          <w:p>
            <w:pPr>
              <w:spacing w:after="0"/>
              <w:rPr>
                <w:sz w:val="20"/>
                <w:szCs w:val="20"/>
                <w:color w:val="auto"/>
              </w:rPr>
            </w:pPr>
          </w:p>
        </w:tc>
        <w:tc>
          <w:tcPr>
            <w:tcW w:w="16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rPr>
              <w:t>Symbol(s)</w:t>
            </w:r>
          </w:p>
        </w:tc>
        <w:tc>
          <w:tcPr>
            <w:tcW w:w="120" w:type="dxa"/>
            <w:vAlign w:val="bottom"/>
          </w:tcPr>
          <w:p>
            <w:pPr>
              <w:spacing w:after="0"/>
              <w:rPr>
                <w:sz w:val="20"/>
                <w:szCs w:val="20"/>
                <w:color w:val="auto"/>
              </w:rPr>
            </w:pPr>
          </w:p>
        </w:tc>
        <w:tc>
          <w:tcPr>
            <w:tcW w:w="50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Name of each exchange on which registered</w:t>
            </w:r>
          </w:p>
        </w:tc>
      </w:tr>
      <w:tr>
        <w:trPr>
          <w:trHeight w:val="228"/>
        </w:trPr>
        <w:tc>
          <w:tcPr>
            <w:tcW w:w="42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Class A common stock, $0.0001 par value per share</w:t>
            </w:r>
          </w:p>
        </w:tc>
        <w:tc>
          <w:tcPr>
            <w:tcW w:w="120" w:type="dxa"/>
            <w:vAlign w:val="bottom"/>
          </w:tcPr>
          <w:p>
            <w:pPr>
              <w:spacing w:after="0"/>
              <w:rPr>
                <w:sz w:val="19"/>
                <w:szCs w:val="19"/>
                <w:color w:val="auto"/>
              </w:rPr>
            </w:pPr>
          </w:p>
        </w:tc>
        <w:tc>
          <w:tcPr>
            <w:tcW w:w="16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HYPR</w:t>
            </w:r>
          </w:p>
        </w:tc>
        <w:tc>
          <w:tcPr>
            <w:tcW w:w="120" w:type="dxa"/>
            <w:vAlign w:val="bottom"/>
          </w:tcPr>
          <w:p>
            <w:pPr>
              <w:spacing w:after="0"/>
              <w:rPr>
                <w:sz w:val="19"/>
                <w:szCs w:val="19"/>
                <w:color w:val="auto"/>
              </w:rPr>
            </w:pPr>
          </w:p>
        </w:tc>
        <w:tc>
          <w:tcPr>
            <w:tcW w:w="50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The Nasdaq Stock Market LLC</w:t>
            </w:r>
          </w:p>
        </w:tc>
      </w:tr>
    </w:tbl>
    <w:p>
      <w:pPr>
        <w:spacing w:after="0" w:line="179" w:lineRule="exact"/>
        <w:rPr>
          <w:sz w:val="24"/>
          <w:szCs w:val="24"/>
          <w:color w:val="auto"/>
        </w:rPr>
      </w:pPr>
    </w:p>
    <w:p>
      <w:pPr>
        <w:ind w:right="480"/>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 230.405 of this chapter) or Rule 12b-2 of the Securities Exchange Act of 1934 (§ 240.12b-2 of this chapter).</w:t>
      </w:r>
    </w:p>
    <w:p>
      <w:pPr>
        <w:spacing w:after="0" w:line="67" w:lineRule="exact"/>
        <w:rPr>
          <w:sz w:val="24"/>
          <w:szCs w:val="24"/>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 xml:space="preserve">Emerging growth company </w:t>
      </w:r>
      <w:r>
        <w:rPr>
          <w:rFonts w:ascii="MS PGothic" w:cs="MS PGothic" w:eastAsia="MS PGothic" w:hAnsi="MS PGothic"/>
          <w:sz w:val="18"/>
          <w:szCs w:val="18"/>
          <w:color w:val="auto"/>
        </w:rPr>
        <w:t>☒</w:t>
      </w:r>
    </w:p>
    <w:p>
      <w:pPr>
        <w:spacing w:after="0" w:line="212" w:lineRule="exact"/>
        <w:rPr>
          <w:sz w:val="24"/>
          <w:szCs w:val="24"/>
          <w:color w:val="auto"/>
        </w:rPr>
      </w:pPr>
    </w:p>
    <w:p>
      <w:pPr>
        <w:ind w:right="140"/>
        <w:spacing w:after="0" w:line="23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612775</wp:posOffset>
            </wp:positionV>
            <wp:extent cx="715772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120015</wp:posOffset>
            </wp:positionV>
            <wp:extent cx="71323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137160</wp:posOffset>
            </wp:positionV>
            <wp:extent cx="7132320"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 w:name="page2"/>
    <w:bookmarkEnd w:id="1"/>
    <w:p>
      <w:pPr>
        <w:spacing w:after="0" w:line="2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2.02 Results of Operations and Financial Condition.</w:t>
      </w:r>
    </w:p>
    <w:p>
      <w:pPr>
        <w:spacing w:after="0" w:line="121" w:lineRule="exact"/>
        <w:rPr>
          <w:sz w:val="20"/>
          <w:szCs w:val="20"/>
          <w:color w:val="auto"/>
        </w:rPr>
      </w:pPr>
    </w:p>
    <w:p>
      <w:pPr>
        <w:ind w:right="120"/>
        <w:spacing w:after="0" w:line="282" w:lineRule="auto"/>
        <w:rPr>
          <w:sz w:val="20"/>
          <w:szCs w:val="20"/>
          <w:color w:val="auto"/>
        </w:rPr>
      </w:pPr>
      <w:r>
        <w:rPr>
          <w:rFonts w:ascii="Times New Roman" w:cs="Times New Roman" w:eastAsia="Times New Roman" w:hAnsi="Times New Roman"/>
          <w:sz w:val="18"/>
          <w:szCs w:val="18"/>
          <w:color w:val="auto"/>
        </w:rPr>
        <w:t>On March 18, 2026, Hyperfine, Inc. issued a press release announcing its results for the fourth quarter and year ended December 31, 2025 and providing a business update. A copy of the press release is furnished as Exhibit 99.1 hereto.</w:t>
      </w:r>
    </w:p>
    <w:p>
      <w:pPr>
        <w:spacing w:after="0" w:line="162" w:lineRule="exact"/>
        <w:rPr>
          <w:sz w:val="20"/>
          <w:szCs w:val="20"/>
          <w:color w:val="auto"/>
        </w:rPr>
      </w:pPr>
    </w:p>
    <w:p>
      <w:pPr>
        <w:ind w:right="100"/>
        <w:spacing w:after="0" w:line="261" w:lineRule="auto"/>
        <w:rPr>
          <w:sz w:val="20"/>
          <w:szCs w:val="20"/>
          <w:color w:val="auto"/>
        </w:rPr>
      </w:pPr>
      <w:r>
        <w:rPr>
          <w:rFonts w:ascii="Times New Roman" w:cs="Times New Roman" w:eastAsia="Times New Roman" w:hAnsi="Times New Roman"/>
          <w:sz w:val="18"/>
          <w:szCs w:val="18"/>
          <w:color w:val="auto"/>
        </w:rPr>
        <w:t>The information in this Current Report on Form 8-K (including Exhibit 99.1) shall not be deemed to be “filed” for purposes of Section 18 of the Securities Exchange Act of 1934, as amended (the “Exchange Act”), or otherwise subject to the liabilities of that section, nor shall it be deemed incorporated by reference in any filing under the Securities Act of 1933, as amended, or the Exchange Act, except as expressly set forth by specific reference in such a filing.</w:t>
      </w:r>
    </w:p>
    <w:p>
      <w:pPr>
        <w:spacing w:after="0" w:line="3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9.01 Financial Statements and Exhibits.</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 Exhibits</w:t>
      </w:r>
    </w:p>
    <w:p>
      <w:pPr>
        <w:spacing w:after="0" w:line="21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Exhibit</w:t>
            </w:r>
          </w:p>
        </w:tc>
        <w:tc>
          <w:tcPr>
            <w:tcW w:w="240" w:type="dxa"/>
            <w:vAlign w:val="bottom"/>
          </w:tcPr>
          <w:p>
            <w:pPr>
              <w:spacing w:after="0"/>
              <w:rPr>
                <w:sz w:val="13"/>
                <w:szCs w:val="13"/>
                <w:color w:val="auto"/>
              </w:rPr>
            </w:pPr>
          </w:p>
        </w:tc>
        <w:tc>
          <w:tcPr>
            <w:tcW w:w="2600" w:type="dxa"/>
            <w:vAlign w:val="bottom"/>
          </w:tcPr>
          <w:p>
            <w:pPr>
              <w:spacing w:after="0"/>
              <w:rPr>
                <w:sz w:val="13"/>
                <w:szCs w:val="13"/>
                <w:color w:val="auto"/>
              </w:rPr>
            </w:pPr>
          </w:p>
        </w:tc>
        <w:tc>
          <w:tcPr>
            <w:tcW w:w="7600" w:type="dxa"/>
            <w:vAlign w:val="bottom"/>
          </w:tcPr>
          <w:p>
            <w:pPr>
              <w:ind w:left="2140"/>
              <w:spacing w:after="0"/>
              <w:rPr>
                <w:sz w:val="20"/>
                <w:szCs w:val="20"/>
                <w:color w:val="auto"/>
              </w:rPr>
            </w:pPr>
            <w:r>
              <w:rPr>
                <w:rFonts w:ascii="Times New Roman" w:cs="Times New Roman" w:eastAsia="Times New Roman" w:hAnsi="Times New Roman"/>
                <w:sz w:val="14"/>
                <w:szCs w:val="14"/>
                <w:b w:val="1"/>
                <w:bCs w:val="1"/>
                <w:color w:val="auto"/>
              </w:rPr>
              <w:t>Description</w:t>
            </w:r>
          </w:p>
        </w:tc>
      </w:tr>
      <w:tr>
        <w:trPr>
          <w:trHeight w:val="173"/>
        </w:trPr>
        <w:tc>
          <w:tcPr>
            <w:tcW w:w="8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Number</w:t>
            </w:r>
          </w:p>
        </w:tc>
        <w:tc>
          <w:tcPr>
            <w:tcW w:w="240" w:type="dxa"/>
            <w:vAlign w:val="bottom"/>
          </w:tcPr>
          <w:p>
            <w:pPr>
              <w:spacing w:after="0"/>
              <w:rPr>
                <w:sz w:val="15"/>
                <w:szCs w:val="15"/>
                <w:color w:val="auto"/>
              </w:rPr>
            </w:pPr>
          </w:p>
        </w:tc>
        <w:tc>
          <w:tcPr>
            <w:tcW w:w="2600" w:type="dxa"/>
            <w:vAlign w:val="bottom"/>
            <w:tcBorders>
              <w:bottom w:val="single" w:sz="8" w:color="auto"/>
            </w:tcBorders>
          </w:tcPr>
          <w:p>
            <w:pPr>
              <w:spacing w:after="0"/>
              <w:rPr>
                <w:sz w:val="15"/>
                <w:szCs w:val="15"/>
                <w:color w:val="auto"/>
              </w:rPr>
            </w:pPr>
          </w:p>
        </w:tc>
        <w:tc>
          <w:tcPr>
            <w:tcW w:w="7600" w:type="dxa"/>
            <w:vAlign w:val="bottom"/>
            <w:tcBorders>
              <w:bottom w:val="single" w:sz="8" w:color="auto"/>
            </w:tcBorders>
          </w:tcPr>
          <w:p>
            <w:pPr>
              <w:spacing w:after="0"/>
              <w:rPr>
                <w:sz w:val="15"/>
                <w:szCs w:val="15"/>
                <w:color w:val="auto"/>
              </w:rPr>
            </w:pPr>
          </w:p>
        </w:tc>
      </w:tr>
      <w:tr>
        <w:trPr>
          <w:trHeight w:val="169"/>
        </w:trPr>
        <w:tc>
          <w:tcPr>
            <w:tcW w:w="800" w:type="dxa"/>
            <w:vAlign w:val="bottom"/>
          </w:tcPr>
          <w:p>
            <w:pPr>
              <w:spacing w:after="0" w:line="169" w:lineRule="exact"/>
              <w:rPr>
                <w:sz w:val="20"/>
                <w:szCs w:val="20"/>
                <w:color w:val="auto"/>
              </w:rPr>
            </w:pPr>
            <w:r>
              <w:rPr>
                <w:rFonts w:ascii="Times New Roman" w:cs="Times New Roman" w:eastAsia="Times New Roman" w:hAnsi="Times New Roman"/>
                <w:sz w:val="18"/>
                <w:szCs w:val="18"/>
                <w:color w:val="auto"/>
              </w:rPr>
              <w:t>99.1</w:t>
            </w:r>
          </w:p>
        </w:tc>
        <w:tc>
          <w:tcPr>
            <w:tcW w:w="240" w:type="dxa"/>
            <w:vAlign w:val="bottom"/>
          </w:tcPr>
          <w:p>
            <w:pPr>
              <w:spacing w:after="0"/>
              <w:rPr>
                <w:sz w:val="14"/>
                <w:szCs w:val="14"/>
                <w:color w:val="auto"/>
              </w:rPr>
            </w:pPr>
          </w:p>
        </w:tc>
        <w:tc>
          <w:tcPr>
            <w:tcW w:w="10200" w:type="dxa"/>
            <w:vAlign w:val="bottom"/>
            <w:gridSpan w:val="2"/>
          </w:tcPr>
          <w:p>
            <w:pPr>
              <w:spacing w:after="0" w:line="169" w:lineRule="exact"/>
              <w:rPr>
                <w:sz w:val="20"/>
                <w:szCs w:val="20"/>
                <w:color w:val="auto"/>
              </w:rPr>
            </w:pPr>
            <w:r>
              <w:rPr>
                <w:rFonts w:ascii="Times New Roman" w:cs="Times New Roman" w:eastAsia="Times New Roman" w:hAnsi="Times New Roman"/>
                <w:sz w:val="18"/>
                <w:szCs w:val="18"/>
                <w:color w:val="0000FF"/>
              </w:rPr>
              <w:t>Press Release dated March 18, 2026</w:t>
            </w:r>
          </w:p>
        </w:tc>
      </w:tr>
      <w:tr>
        <w:trPr>
          <w:trHeight w:val="20"/>
        </w:trPr>
        <w:tc>
          <w:tcPr>
            <w:tcW w:w="8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600" w:type="dxa"/>
            <w:vAlign w:val="bottom"/>
            <w:shd w:val="clear" w:color="auto" w:fill="0000FF"/>
          </w:tcPr>
          <w:p>
            <w:pPr>
              <w:spacing w:after="0" w:line="20" w:lineRule="exact"/>
              <w:rPr>
                <w:sz w:val="1"/>
                <w:szCs w:val="1"/>
                <w:color w:val="auto"/>
              </w:rPr>
            </w:pPr>
          </w:p>
        </w:tc>
        <w:tc>
          <w:tcPr>
            <w:tcW w:w="7600" w:type="dxa"/>
            <w:vAlign w:val="bottom"/>
          </w:tcPr>
          <w:p>
            <w:pPr>
              <w:spacing w:after="0" w:line="20" w:lineRule="exact"/>
              <w:rPr>
                <w:sz w:val="1"/>
                <w:szCs w:val="1"/>
                <w:color w:val="auto"/>
              </w:rPr>
            </w:pPr>
          </w:p>
        </w:tc>
      </w:tr>
      <w:tr>
        <w:trPr>
          <w:trHeight w:val="237"/>
        </w:trPr>
        <w:tc>
          <w:tcPr>
            <w:tcW w:w="800" w:type="dxa"/>
            <w:vAlign w:val="bottom"/>
          </w:tcPr>
          <w:p>
            <w:pPr>
              <w:spacing w:after="0"/>
              <w:rPr>
                <w:sz w:val="20"/>
                <w:szCs w:val="20"/>
                <w:color w:val="auto"/>
              </w:rPr>
            </w:pPr>
            <w:r>
              <w:rPr>
                <w:rFonts w:ascii="Times New Roman" w:cs="Times New Roman" w:eastAsia="Times New Roman" w:hAnsi="Times New Roman"/>
                <w:sz w:val="18"/>
                <w:szCs w:val="18"/>
                <w:color w:val="auto"/>
              </w:rPr>
              <w:t>104</w:t>
            </w:r>
          </w:p>
        </w:tc>
        <w:tc>
          <w:tcPr>
            <w:tcW w:w="240" w:type="dxa"/>
            <w:vAlign w:val="bottom"/>
          </w:tcPr>
          <w:p>
            <w:pPr>
              <w:spacing w:after="0"/>
              <w:rPr>
                <w:sz w:val="20"/>
                <w:szCs w:val="20"/>
                <w:color w:val="auto"/>
              </w:rPr>
            </w:pPr>
          </w:p>
        </w:tc>
        <w:tc>
          <w:tcPr>
            <w:tcW w:w="102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Cover Page Interactive Data File (embedded within the Inline XBRL document)</w:t>
            </w:r>
          </w:p>
        </w:tc>
      </w:tr>
    </w:tbl>
    <w:p>
      <w:pPr>
        <w:spacing w:after="0" w:line="200" w:lineRule="exact"/>
        <w:rPr>
          <w:sz w:val="20"/>
          <w:szCs w:val="20"/>
          <w:color w:val="auto"/>
        </w:rPr>
      </w:pPr>
    </w:p>
    <w:p>
      <w:pPr>
        <w:spacing w:after="0" w:line="214" w:lineRule="exact"/>
        <w:rPr>
          <w:sz w:val="20"/>
          <w:szCs w:val="20"/>
          <w:color w:val="auto"/>
        </w:rPr>
      </w:pPr>
    </w:p>
    <w:p>
      <w:pPr>
        <w:ind w:right="420"/>
        <w:spacing w:after="0" w:line="282" w:lineRule="auto"/>
        <w:rPr>
          <w:sz w:val="20"/>
          <w:szCs w:val="20"/>
          <w:color w:val="auto"/>
        </w:rPr>
      </w:pPr>
      <w:r>
        <w:rPr>
          <w:rFonts w:ascii="Times New Roman" w:cs="Times New Roman" w:eastAsia="Times New Roman" w:hAnsi="Times New Roman"/>
          <w:sz w:val="18"/>
          <w:szCs w:val="18"/>
          <w:color w:val="auto"/>
        </w:rPr>
        <w:t>The press release may contain hypertext links to information on our website. The information on our website is not incorporated by reference into this Current Report on Form 8-K and does not constitute a part of this Form 8-K.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581660</wp:posOffset>
            </wp:positionV>
            <wp:extent cx="715772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2" w:name="page3"/>
    <w:bookmarkEnd w:id="2"/>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175"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198" w:lineRule="exact"/>
        <w:rPr>
          <w:sz w:val="20"/>
          <w:szCs w:val="20"/>
          <w:color w:val="auto"/>
        </w:rPr>
      </w:pPr>
    </w:p>
    <w:p>
      <w:pPr>
        <w:ind w:left="6080"/>
        <w:spacing w:after="0"/>
        <w:rPr>
          <w:sz w:val="20"/>
          <w:szCs w:val="20"/>
          <w:color w:val="auto"/>
        </w:rPr>
      </w:pPr>
      <w:r>
        <w:rPr>
          <w:rFonts w:ascii="Times New Roman" w:cs="Times New Roman" w:eastAsia="Times New Roman" w:hAnsi="Times New Roman"/>
          <w:sz w:val="18"/>
          <w:szCs w:val="18"/>
          <w:b w:val="1"/>
          <w:bCs w:val="1"/>
          <w:color w:val="auto"/>
        </w:rPr>
        <w:t>HYPERFINE, INC.</w:t>
      </w:r>
    </w:p>
    <w:p>
      <w:pPr>
        <w:spacing w:after="0" w:line="378" w:lineRule="exact"/>
        <w:rPr>
          <w:sz w:val="20"/>
          <w:szCs w:val="20"/>
          <w:color w:val="auto"/>
        </w:rPr>
      </w:pPr>
    </w:p>
    <w:p>
      <w:pPr>
        <w:spacing w:after="0"/>
        <w:tabs>
          <w:tab w:leader="none" w:pos="660" w:val="left"/>
          <w:tab w:leader="none" w:pos="5620" w:val="left"/>
          <w:tab w:leader="none" w:pos="6060" w:val="left"/>
        </w:tabs>
        <w:rPr>
          <w:sz w:val="20"/>
          <w:szCs w:val="20"/>
          <w:color w:val="auto"/>
        </w:rPr>
      </w:pPr>
      <w:r>
        <w:rPr>
          <w:rFonts w:ascii="Times New Roman" w:cs="Times New Roman" w:eastAsia="Times New Roman" w:hAnsi="Times New Roman"/>
          <w:sz w:val="18"/>
          <w:szCs w:val="18"/>
          <w:color w:val="auto"/>
        </w:rPr>
        <w:t>Date:</w:t>
        <w:tab/>
        <w:t>March 18, 2026</w:t>
      </w:r>
      <w:r>
        <w:rPr>
          <w:sz w:val="20"/>
          <w:szCs w:val="20"/>
          <w:color w:val="auto"/>
        </w:rPr>
        <w:tab/>
      </w: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7"/>
          <w:szCs w:val="17"/>
          <w:color w:val="auto"/>
        </w:rPr>
        <w:t>/s/ Brett Hale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3862705</wp:posOffset>
            </wp:positionH>
            <wp:positionV relativeFrom="paragraph">
              <wp:posOffset>17145</wp:posOffset>
            </wp:positionV>
            <wp:extent cx="3274695"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3274695" cy="8255"/>
                    </a:xfrm>
                    <a:prstGeom prst="rect">
                      <a:avLst/>
                    </a:prstGeom>
                    <a:noFill/>
                  </pic:spPr>
                </pic:pic>
              </a:graphicData>
            </a:graphic>
          </wp:anchor>
        </w:drawing>
      </w:r>
    </w:p>
    <w:p>
      <w:pPr>
        <w:spacing w:after="0" w:line="165" w:lineRule="exact"/>
        <w:rPr>
          <w:sz w:val="20"/>
          <w:szCs w:val="20"/>
          <w:color w:val="auto"/>
        </w:rPr>
      </w:pPr>
    </w:p>
    <w:p>
      <w:pPr>
        <w:ind w:left="6080"/>
        <w:spacing w:after="0"/>
        <w:rPr>
          <w:sz w:val="20"/>
          <w:szCs w:val="20"/>
          <w:color w:val="auto"/>
        </w:rPr>
      </w:pPr>
      <w:r>
        <w:rPr>
          <w:rFonts w:ascii="Times New Roman" w:cs="Times New Roman" w:eastAsia="Times New Roman" w:hAnsi="Times New Roman"/>
          <w:sz w:val="18"/>
          <w:szCs w:val="18"/>
          <w:color w:val="auto"/>
        </w:rPr>
        <w:t>Brett Hale</w:t>
      </w:r>
    </w:p>
    <w:p>
      <w:pPr>
        <w:spacing w:after="0" w:line="27" w:lineRule="exact"/>
        <w:rPr>
          <w:sz w:val="20"/>
          <w:szCs w:val="20"/>
          <w:color w:val="auto"/>
        </w:rPr>
      </w:pPr>
    </w:p>
    <w:p>
      <w:pPr>
        <w:ind w:left="6080"/>
        <w:spacing w:after="0"/>
        <w:rPr>
          <w:sz w:val="20"/>
          <w:szCs w:val="20"/>
          <w:color w:val="auto"/>
        </w:rPr>
      </w:pPr>
      <w:r>
        <w:rPr>
          <w:rFonts w:ascii="Times New Roman" w:cs="Times New Roman" w:eastAsia="Times New Roman" w:hAnsi="Times New Roman"/>
          <w:sz w:val="18"/>
          <w:szCs w:val="18"/>
          <w:color w:val="auto"/>
        </w:rPr>
        <w:t>Chief Administrative Officer, Chief Financial Officer, Treasurer and</w:t>
      </w:r>
    </w:p>
    <w:p>
      <w:pPr>
        <w:spacing w:after="0" w:line="9" w:lineRule="exact"/>
        <w:rPr>
          <w:sz w:val="20"/>
          <w:szCs w:val="20"/>
          <w:color w:val="auto"/>
        </w:rPr>
      </w:pPr>
    </w:p>
    <w:p>
      <w:pPr>
        <w:ind w:left="6080"/>
        <w:spacing w:after="0"/>
        <w:rPr>
          <w:sz w:val="20"/>
          <w:szCs w:val="20"/>
          <w:color w:val="auto"/>
        </w:rPr>
      </w:pPr>
      <w:r>
        <w:rPr>
          <w:rFonts w:ascii="Times New Roman" w:cs="Times New Roman" w:eastAsia="Times New Roman" w:hAnsi="Times New Roman"/>
          <w:sz w:val="18"/>
          <w:szCs w:val="18"/>
          <w:color w:val="auto"/>
        </w:rPr>
        <w:t>Corporate Secretary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721995</wp:posOffset>
            </wp:positionV>
            <wp:extent cx="715772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413" w:right="379" w:bottom="1440" w:gutter="0" w:footer="0" w:header="0"/>
        </w:sectPr>
      </w:pPr>
    </w:p>
    <w:bookmarkStart w:id="3" w:name="page4"/>
    <w:bookmarkEnd w:id="3"/>
    <w:p>
      <w:pPr>
        <w:spacing w:after="0" w:line="122"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637540</wp:posOffset>
            </wp:positionV>
            <wp:extent cx="2305685" cy="36893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clrChange>
                        <a:clrFrom>
                          <a:srgbClr val="FFFFFF"/>
                        </a:clrFrom>
                        <a:clrTo>
                          <a:srgbClr val="FFFFFF">
                            <a:alpha val="0"/>
                          </a:srgbClr>
                        </a:clrTo>
                      </a:clrChange>
                      <a:extLst>
                        <a:ext uri="{28A0092B-C50C-407E-A947-70E740481C1C}"/>
                      </a:extLst>
                    </a:blip>
                    <a:srcRect/>
                    <a:stretch>
                      <a:fillRect/>
                    </a:stretch>
                  </pic:blipFill>
                  <pic:spPr bwMode="auto">
                    <a:xfrm>
                      <a:off x="0" y="0"/>
                      <a:ext cx="2305685" cy="368935"/>
                    </a:xfrm>
                    <a:prstGeom prst="rect">
                      <a:avLst/>
                    </a:prstGeom>
                    <a:noFill/>
                  </pic:spPr>
                </pic:pic>
              </a:graphicData>
            </a:graphic>
          </wp:anchor>
        </w:drawing>
      </w:r>
    </w:p>
    <w:p>
      <w:pPr>
        <w:jc w:val="right"/>
        <w:spacing w:after="0"/>
        <w:rPr>
          <w:sz w:val="20"/>
          <w:szCs w:val="20"/>
          <w:color w:val="auto"/>
        </w:rPr>
      </w:pPr>
      <w:r>
        <w:rPr>
          <w:rFonts w:ascii="Times New Roman" w:cs="Times New Roman" w:eastAsia="Times New Roman" w:hAnsi="Times New Roman"/>
          <w:sz w:val="18"/>
          <w:szCs w:val="18"/>
          <w:b w:val="1"/>
          <w:bCs w:val="1"/>
          <w:color w:val="auto"/>
        </w:rPr>
        <w:t>Exhibit 99.1</w:t>
      </w:r>
    </w:p>
    <w:p>
      <w:pPr>
        <w:spacing w:after="0" w:line="2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Hyperfine, Inc. Reports Fourth Quarter and Full Year 2025 Financial Results</w:t>
      </w:r>
    </w:p>
    <w:p>
      <w:pPr>
        <w:spacing w:after="0" w:line="189" w:lineRule="exact"/>
        <w:rPr>
          <w:sz w:val="20"/>
          <w:szCs w:val="20"/>
          <w:color w:val="auto"/>
        </w:rPr>
      </w:pPr>
    </w:p>
    <w:p>
      <w:pPr>
        <w:ind w:right="100"/>
        <w:spacing w:after="0" w:line="266" w:lineRule="auto"/>
        <w:rPr>
          <w:sz w:val="20"/>
          <w:szCs w:val="20"/>
          <w:color w:val="auto"/>
        </w:rPr>
      </w:pPr>
      <w:r>
        <w:rPr>
          <w:rFonts w:ascii="Times New Roman" w:cs="Times New Roman" w:eastAsia="Times New Roman" w:hAnsi="Times New Roman"/>
          <w:sz w:val="18"/>
          <w:szCs w:val="18"/>
          <w:color w:val="auto"/>
        </w:rPr>
        <w:t>GUILFORD, Connecticut, March 18, 2026 (GLOBE NEWSWIRE) – Hyperfine, Inc. (Nasdaq: HYPR), the groundbreaking health technology company that has redefined brain imaging with the first FDA-cleared AI-powered portable magnetic resonance (MR) brain imaging system—the Swoop® system— today announced fourth quarter and full year 2025 financial results and provided a business update.</w:t>
      </w:r>
    </w:p>
    <w:p>
      <w:pPr>
        <w:spacing w:after="0" w:line="156" w:lineRule="exact"/>
        <w:rPr>
          <w:sz w:val="20"/>
          <w:szCs w:val="20"/>
          <w:color w:val="auto"/>
        </w:rPr>
      </w:pPr>
    </w:p>
    <w:p>
      <w:pPr>
        <w:ind w:right="40"/>
        <w:spacing w:after="0"/>
        <w:rPr>
          <w:sz w:val="20"/>
          <w:szCs w:val="20"/>
          <w:color w:val="auto"/>
        </w:rPr>
      </w:pPr>
      <w:r>
        <w:rPr>
          <w:rFonts w:ascii="Times New Roman" w:cs="Times New Roman" w:eastAsia="Times New Roman" w:hAnsi="Times New Roman"/>
          <w:sz w:val="18"/>
          <w:szCs w:val="18"/>
          <w:color w:val="auto"/>
        </w:rPr>
        <w:t>“The launch of our second-generation Swoop® scanner, our Optive AI</w:t>
      </w:r>
      <w:r>
        <w:rPr>
          <w:rFonts w:ascii="Times New Roman" w:cs="Times New Roman" w:eastAsia="Times New Roman" w:hAnsi="Times New Roman"/>
          <w:sz w:val="24"/>
          <w:szCs w:val="24"/>
          <w:color w:val="auto"/>
          <w:vertAlign w:val="superscript"/>
        </w:rPr>
        <w:t>TM</w:t>
      </w:r>
      <w:r>
        <w:rPr>
          <w:rFonts w:ascii="Times New Roman" w:cs="Times New Roman" w:eastAsia="Times New Roman" w:hAnsi="Times New Roman"/>
          <w:sz w:val="18"/>
          <w:szCs w:val="18"/>
          <w:color w:val="auto"/>
        </w:rPr>
        <w:t xml:space="preserve"> software, and the addition of a new market in the neurology office setting in mid-2025 marks a new era in the adoption of portable brain MRI and the future of our company. We hold a highly proprietary and differentiated technology leadership position in the ability to produce diagnostic quality images with an ultra-low-field magnet,” said Maria Sainz, Chief Executive Officer and President of Hyperfine, Inc. “As we move through 2026, we expect to continue to see growth catalysts accelerate the adoption of the Swoop® system across multiple sites of care in the hospital, neurology office and international markets.”</w:t>
      </w:r>
    </w:p>
    <w:p>
      <w:pPr>
        <w:spacing w:after="0" w:line="1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Recent Achievements and Business Highlights</w:t>
      </w:r>
    </w:p>
    <w:p>
      <w:pPr>
        <w:spacing w:after="0" w:line="121" w:lineRule="exact"/>
        <w:rPr>
          <w:sz w:val="20"/>
          <w:szCs w:val="20"/>
          <w:color w:val="auto"/>
        </w:rPr>
      </w:pPr>
    </w:p>
    <w:p>
      <w:pPr>
        <w:ind w:left="1020" w:right="180" w:hanging="503"/>
        <w:spacing w:after="0" w:line="282" w:lineRule="auto"/>
        <w:tabs>
          <w:tab w:leader="none" w:pos="102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Obtained FDA clearance of the first Optive AI™ software update with advanced diffusion imaging capability, focused on enhancing stroke detection.</w:t>
      </w:r>
    </w:p>
    <w:p>
      <w:pPr>
        <w:spacing w:after="0" w:line="53" w:lineRule="exact"/>
        <w:rPr>
          <w:rFonts w:ascii="Times New Roman" w:cs="Times New Roman" w:eastAsia="Times New Roman" w:hAnsi="Times New Roman"/>
          <w:sz w:val="18"/>
          <w:szCs w:val="18"/>
          <w:color w:val="auto"/>
        </w:rPr>
      </w:pPr>
    </w:p>
    <w:p>
      <w:pPr>
        <w:ind w:left="1020" w:right="640" w:hanging="503"/>
        <w:spacing w:after="0" w:line="282" w:lineRule="auto"/>
        <w:tabs>
          <w:tab w:leader="none" w:pos="102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Enrolled first patient in Contrast PMR, a study designed to support a future FDA 510(k) submission to expand the Swoop® system’s intended use to include gadolinium-based contrast agents.</w:t>
      </w:r>
    </w:p>
    <w:p>
      <w:pPr>
        <w:spacing w:after="0" w:line="53" w:lineRule="exact"/>
        <w:rPr>
          <w:rFonts w:ascii="Times New Roman" w:cs="Times New Roman" w:eastAsia="Times New Roman" w:hAnsi="Times New Roman"/>
          <w:sz w:val="18"/>
          <w:szCs w:val="18"/>
          <w:color w:val="auto"/>
        </w:rPr>
      </w:pPr>
    </w:p>
    <w:p>
      <w:pPr>
        <w:ind w:left="1020" w:right="720" w:hanging="503"/>
        <w:spacing w:after="0" w:line="282" w:lineRule="auto"/>
        <w:tabs>
          <w:tab w:leader="none" w:pos="102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Presented NEURO-PMR results at the 2026 American Society of Neuroimaging showing high diagnostic value and superior patient experience in neurology clinics.</w:t>
      </w:r>
    </w:p>
    <w:p>
      <w:pPr>
        <w:spacing w:after="0" w:line="51" w:lineRule="exact"/>
        <w:rPr>
          <w:rFonts w:ascii="Times New Roman" w:cs="Times New Roman" w:eastAsia="Times New Roman" w:hAnsi="Times New Roman"/>
          <w:sz w:val="18"/>
          <w:szCs w:val="18"/>
          <w:color w:val="auto"/>
        </w:rPr>
      </w:pPr>
    </w:p>
    <w:p>
      <w:pPr>
        <w:ind w:left="1020" w:right="280" w:hanging="503"/>
        <w:spacing w:after="0" w:line="284" w:lineRule="auto"/>
        <w:tabs>
          <w:tab w:leader="none" w:pos="102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Published paper in </w:t>
      </w:r>
      <w:r>
        <w:rPr>
          <w:rFonts w:ascii="Times New Roman" w:cs="Times New Roman" w:eastAsia="Times New Roman" w:hAnsi="Times New Roman"/>
          <w:sz w:val="18"/>
          <w:szCs w:val="18"/>
          <w:i w:val="1"/>
          <w:iCs w:val="1"/>
          <w:color w:val="auto"/>
        </w:rPr>
        <w:t>Stroke: Vascular and Interventional Neurology (SVIN)</w:t>
      </w:r>
      <w:r>
        <w:rPr>
          <w:rFonts w:ascii="Times New Roman" w:cs="Times New Roman" w:eastAsia="Times New Roman" w:hAnsi="Times New Roman"/>
          <w:sz w:val="18"/>
          <w:szCs w:val="18"/>
          <w:color w:val="auto"/>
        </w:rPr>
        <w:t xml:space="preserve"> demonstrating the Swoop® system’s enhanced stroke detection capabilities.</w:t>
      </w:r>
    </w:p>
    <w:p>
      <w:pPr>
        <w:spacing w:after="0" w:line="50"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Published paper in </w:t>
      </w:r>
      <w:r>
        <w:rPr>
          <w:rFonts w:ascii="Times New Roman" w:cs="Times New Roman" w:eastAsia="Times New Roman" w:hAnsi="Times New Roman"/>
          <w:sz w:val="18"/>
          <w:szCs w:val="18"/>
          <w:i w:val="1"/>
          <w:iCs w:val="1"/>
          <w:color w:val="auto"/>
        </w:rPr>
        <w:t>Clinical Neuroimaging</w:t>
      </w:r>
      <w:r>
        <w:rPr>
          <w:rFonts w:ascii="Times New Roman" w:cs="Times New Roman" w:eastAsia="Times New Roman" w:hAnsi="Times New Roman"/>
          <w:sz w:val="18"/>
          <w:szCs w:val="18"/>
          <w:color w:val="auto"/>
        </w:rPr>
        <w:t xml:space="preserve"> demonstrating the significant health economic benefit of using the Swoop® system.</w:t>
      </w:r>
    </w:p>
    <w:p>
      <w:pPr>
        <w:spacing w:after="0" w:line="119"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Received regulatory approval in India from the Central Drugs Standard Control Organization for the first-generation Swoop® system.</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Awarded $3.7 million grant from the Gates Foundation to advance global brain health.</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Raised over $20 million in gross proceeds through an equity public offering in October 2025.</w:t>
      </w:r>
    </w:p>
    <w:p>
      <w:pPr>
        <w:spacing w:after="0" w:line="117" w:lineRule="exact"/>
        <w:rPr>
          <w:rFonts w:ascii="Times New Roman" w:cs="Times New Roman" w:eastAsia="Times New Roman" w:hAnsi="Times New Roman"/>
          <w:sz w:val="18"/>
          <w:szCs w:val="18"/>
          <w:color w:val="auto"/>
        </w:rPr>
      </w:pPr>
    </w:p>
    <w:p>
      <w:pPr>
        <w:ind w:left="1020" w:right="440" w:hanging="503"/>
        <w:spacing w:after="0" w:line="282" w:lineRule="auto"/>
        <w:tabs>
          <w:tab w:leader="none" w:pos="102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Secured a $40 million senior secured term loan facility in March 2026, with initial funding of $15 million and an additional $25 million available upon achievement of certain commercial milestones.</w:t>
      </w:r>
    </w:p>
    <w:p>
      <w:pPr>
        <w:spacing w:after="0" w:line="53" w:lineRule="exact"/>
        <w:rPr>
          <w:rFonts w:ascii="Times New Roman" w:cs="Times New Roman" w:eastAsia="Times New Roman" w:hAnsi="Times New Roman"/>
          <w:sz w:val="18"/>
          <w:szCs w:val="18"/>
          <w:color w:val="auto"/>
        </w:rPr>
      </w:pPr>
    </w:p>
    <w:p>
      <w:pPr>
        <w:ind w:left="1020" w:right="40" w:hanging="503"/>
        <w:spacing w:after="0" w:line="282" w:lineRule="auto"/>
        <w:tabs>
          <w:tab w:leader="none" w:pos="102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Bolstered balance sheet with expected cash runway into 2028, including recent equity financing and the initial debt tranche, providing capital for commercial growth.</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Fourth Quarter 2025 Financial Results</w:t>
      </w:r>
    </w:p>
    <w:p>
      <w:pPr>
        <w:spacing w:after="0" w:line="121" w:lineRule="exact"/>
        <w:rPr>
          <w:sz w:val="20"/>
          <w:szCs w:val="20"/>
          <w:color w:val="auto"/>
        </w:rPr>
      </w:pPr>
    </w:p>
    <w:p>
      <w:pPr>
        <w:ind w:left="1020" w:hanging="503"/>
        <w:spacing w:after="0"/>
        <w:tabs>
          <w:tab w:leader="none" w:pos="10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Revenues for the fourth quarter of 2025 were $5.29 million, increasing 128% compared to $2.32 million in the fourth quarter of 2024.</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Sold net 16 commercial Swoop® systems in the fourth quarter of 2025, compared to nine in the fourth quarter of 2024.</w:t>
      </w:r>
    </w:p>
    <w:p>
      <w:pPr>
        <w:spacing w:after="0" w:line="117" w:lineRule="exact"/>
        <w:rPr>
          <w:rFonts w:ascii="Times New Roman" w:cs="Times New Roman" w:eastAsia="Times New Roman" w:hAnsi="Times New Roman"/>
          <w:sz w:val="18"/>
          <w:szCs w:val="18"/>
          <w:color w:val="auto"/>
        </w:rPr>
      </w:pPr>
    </w:p>
    <w:p>
      <w:pPr>
        <w:ind w:left="1020" w:right="400" w:hanging="503"/>
        <w:spacing w:after="0" w:line="282" w:lineRule="auto"/>
        <w:tabs>
          <w:tab w:leader="none" w:pos="10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Gross profit for the fourth quarter of 2025 was $2.69 million, compared to $0.83 million in the fourth quarter of 2024, representing 51% gross margin in the fourth quarter of 2025, compared to 36% gross margin in the fourth quarter of 2024.</w:t>
      </w:r>
    </w:p>
    <w:p>
      <w:pPr>
        <w:spacing w:after="0" w:line="53" w:lineRule="exact"/>
        <w:rPr>
          <w:rFonts w:ascii="Times New Roman" w:cs="Times New Roman" w:eastAsia="Times New Roman" w:hAnsi="Times New Roman"/>
          <w:sz w:val="18"/>
          <w:szCs w:val="18"/>
          <w:color w:val="auto"/>
        </w:rPr>
      </w:pPr>
    </w:p>
    <w:p>
      <w:pPr>
        <w:ind w:left="1020" w:right="340" w:hanging="503"/>
        <w:spacing w:after="0" w:line="282" w:lineRule="auto"/>
        <w:tabs>
          <w:tab w:leader="none" w:pos="10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Research and development expenses for the fourth quarter of 2025 were $3.82 million, compared to $5.11 million in the fourth quarter of 2024.</w:t>
      </w:r>
    </w:p>
    <w:p>
      <w:pPr>
        <w:spacing w:after="0" w:line="53" w:lineRule="exact"/>
        <w:rPr>
          <w:rFonts w:ascii="Times New Roman" w:cs="Times New Roman" w:eastAsia="Times New Roman" w:hAnsi="Times New Roman"/>
          <w:sz w:val="18"/>
          <w:szCs w:val="18"/>
          <w:color w:val="auto"/>
        </w:rPr>
      </w:pPr>
    </w:p>
    <w:p>
      <w:pPr>
        <w:ind w:left="1020" w:right="260" w:hanging="503"/>
        <w:spacing w:after="0" w:line="282" w:lineRule="auto"/>
        <w:tabs>
          <w:tab w:leader="none" w:pos="10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Sales, marketing, general, and administrative expenses for the fourth quarter of 2025 were $6.54 million, compared to $6.49 million in the fourth quarter of 2024.</w:t>
      </w:r>
    </w:p>
    <w:p>
      <w:pPr>
        <w:spacing w:after="0" w:line="53" w:lineRule="exact"/>
        <w:rPr>
          <w:rFonts w:ascii="Times New Roman" w:cs="Times New Roman" w:eastAsia="Times New Roman" w:hAnsi="Times New Roman"/>
          <w:sz w:val="18"/>
          <w:szCs w:val="18"/>
          <w:color w:val="auto"/>
        </w:rPr>
      </w:pPr>
    </w:p>
    <w:p>
      <w:pPr>
        <w:ind w:left="1020" w:right="80" w:hanging="503"/>
        <w:spacing w:after="0" w:line="266" w:lineRule="auto"/>
        <w:tabs>
          <w:tab w:leader="none" w:pos="10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Net loss for the fourth quarter of 2025 was $5.91 million, equating to a net loss of $0.06 per share, as compared to a net loss of $10.39 million, or a net loss of $0.14 per share, for the fourth quarter of 2024. The fourth quarter of 2025 net loss includes a gain from the change in fair value of warrant liabilities of $1.46 million.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453390</wp:posOffset>
            </wp:positionV>
            <wp:extent cx="7157720"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4" w:name="page5"/>
    <w:bookmarkEnd w:id="4"/>
    <w:p>
      <w:pPr>
        <w:spacing w:after="0" w:line="82"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500380</wp:posOffset>
            </wp:positionV>
            <wp:extent cx="2305685" cy="36830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clrChange>
                        <a:clrFrom>
                          <a:srgbClr val="FFFFFF"/>
                        </a:clrFrom>
                        <a:clrTo>
                          <a:srgbClr val="FFFFFF">
                            <a:alpha val="0"/>
                          </a:srgbClr>
                        </a:clrTo>
                      </a:clrChange>
                      <a:extLst>
                        <a:ext uri="{28A0092B-C50C-407E-A947-70E740481C1C}"/>
                      </a:extLst>
                    </a:blip>
                    <a:srcRect/>
                    <a:stretch>
                      <a:fillRect/>
                    </a:stretch>
                  </pic:blipFill>
                  <pic:spPr bwMode="auto">
                    <a:xfrm>
                      <a:off x="0" y="0"/>
                      <a:ext cx="2305685" cy="368300"/>
                    </a:xfrm>
                    <a:prstGeom prst="rect">
                      <a:avLst/>
                    </a:prstGeom>
                    <a:noFill/>
                  </pic:spPr>
                </pic:pic>
              </a:graphicData>
            </a:graphic>
          </wp:anchor>
        </w:drawing>
      </w:r>
    </w:p>
    <w:p>
      <w:pPr>
        <w:spacing w:after="0"/>
        <w:rPr>
          <w:sz w:val="20"/>
          <w:szCs w:val="20"/>
          <w:color w:val="auto"/>
        </w:rPr>
      </w:pPr>
      <w:r>
        <w:rPr>
          <w:rFonts w:ascii="Times New Roman" w:cs="Times New Roman" w:eastAsia="Times New Roman" w:hAnsi="Times New Roman"/>
          <w:sz w:val="18"/>
          <w:szCs w:val="18"/>
          <w:b w:val="1"/>
          <w:bCs w:val="1"/>
          <w:color w:val="auto"/>
        </w:rPr>
        <w:t>Full Year 2025 Financial Results</w:t>
      </w:r>
    </w:p>
    <w:p>
      <w:pPr>
        <w:spacing w:after="0" w:line="121" w:lineRule="exact"/>
        <w:rPr>
          <w:sz w:val="20"/>
          <w:szCs w:val="20"/>
          <w:color w:val="auto"/>
        </w:rPr>
      </w:pPr>
    </w:p>
    <w:p>
      <w:pPr>
        <w:ind w:left="1020" w:hanging="503"/>
        <w:spacing w:after="0"/>
        <w:tabs>
          <w:tab w:leader="none" w:pos="102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Revenues for the full year 2025 were $13.56 million, increasing 5.2% compared to $12.89 million in 2024.</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Sold net 38 commercial Swoop® systems in 2025, compared to 48 in 2024.</w:t>
      </w:r>
    </w:p>
    <w:p>
      <w:pPr>
        <w:spacing w:after="0" w:line="117" w:lineRule="exact"/>
        <w:rPr>
          <w:rFonts w:ascii="Times New Roman" w:cs="Times New Roman" w:eastAsia="Times New Roman" w:hAnsi="Times New Roman"/>
          <w:sz w:val="18"/>
          <w:szCs w:val="18"/>
          <w:color w:val="auto"/>
        </w:rPr>
      </w:pPr>
    </w:p>
    <w:p>
      <w:pPr>
        <w:ind w:left="1020" w:right="120" w:hanging="503"/>
        <w:spacing w:after="0" w:line="282" w:lineRule="auto"/>
        <w:tabs>
          <w:tab w:leader="none" w:pos="102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Gross profit for the full year 2025 was $6.75 million, compared to $5.89 million in 2024, representing 50% gross margin in 2025, compared to 46% gross margin in 2024.</w:t>
      </w:r>
    </w:p>
    <w:p>
      <w:pPr>
        <w:spacing w:after="0" w:line="5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Research and development expenses for the full year 2025 were $17.45 million, compared to $22.50 million in 2024.</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Sales, marketing, general, and administrative expenses for the full year 2025 were $26.39 million, compared to $26.62 million in 2024.</w:t>
      </w:r>
    </w:p>
    <w:p>
      <w:pPr>
        <w:spacing w:after="0" w:line="117" w:lineRule="exact"/>
        <w:rPr>
          <w:rFonts w:ascii="Times New Roman" w:cs="Times New Roman" w:eastAsia="Times New Roman" w:hAnsi="Times New Roman"/>
          <w:sz w:val="18"/>
          <w:szCs w:val="18"/>
          <w:color w:val="auto"/>
        </w:rPr>
      </w:pPr>
    </w:p>
    <w:p>
      <w:pPr>
        <w:ind w:left="1020" w:right="120" w:hanging="503"/>
        <w:spacing w:after="0" w:line="266" w:lineRule="auto"/>
        <w:tabs>
          <w:tab w:leader="none" w:pos="102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Net loss for the full year 2025 was $35.57 million, equating to a net loss of $0.43 per share, as compared to a net loss of $40.72 million, or a net loss of $0.56 per share, for 2024. The full year 2025 net loss includes a gain from the change in fair value of warrant liabilities of $0.83 million.</w:t>
      </w:r>
    </w:p>
    <w:p>
      <w:pPr>
        <w:spacing w:after="0" w:line="6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Cash and cash equivalents totaled $35.09 million as of December 31, 2025.</w:t>
      </w:r>
    </w:p>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2026 Financial Guidance</w:t>
      </w:r>
    </w:p>
    <w:p>
      <w:pPr>
        <w:spacing w:after="0" w:line="121" w:lineRule="exact"/>
        <w:rPr>
          <w:sz w:val="20"/>
          <w:szCs w:val="20"/>
          <w:color w:val="auto"/>
        </w:rPr>
      </w:pPr>
    </w:p>
    <w:p>
      <w:pPr>
        <w:ind w:left="1020" w:right="400" w:hanging="503"/>
        <w:spacing w:after="0" w:line="282" w:lineRule="auto"/>
        <w:tabs>
          <w:tab w:leader="none" w:pos="102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Management expects revenue for the full year 2026 to be approximately $20 to $22 million, representing 55% growth at the midpoint as compared to full year 2025.</w:t>
      </w:r>
    </w:p>
    <w:p>
      <w:pPr>
        <w:spacing w:after="0" w:line="60" w:lineRule="exact"/>
        <w:rPr>
          <w:rFonts w:ascii="Times New Roman" w:cs="Times New Roman" w:eastAsia="Times New Roman" w:hAnsi="Times New Roman"/>
          <w:sz w:val="18"/>
          <w:szCs w:val="18"/>
          <w:color w:val="auto"/>
        </w:rPr>
      </w:pPr>
    </w:p>
    <w:p>
      <w:pPr>
        <w:ind w:left="1020" w:right="80" w:hanging="503"/>
        <w:spacing w:after="0" w:line="233" w:lineRule="auto"/>
        <w:tabs>
          <w:tab w:leader="none" w:pos="102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Management expects cash burn</w:t>
      </w:r>
      <w:r>
        <w:rPr>
          <w:rFonts w:ascii="Times New Roman" w:cs="Times New Roman" w:eastAsia="Times New Roman" w:hAnsi="Times New Roman"/>
          <w:sz w:val="24"/>
          <w:szCs w:val="24"/>
          <w:color w:val="auto"/>
          <w:vertAlign w:val="superscript"/>
        </w:rPr>
        <w:t>1</w:t>
      </w:r>
      <w:r>
        <w:rPr>
          <w:rFonts w:ascii="Times New Roman" w:cs="Times New Roman" w:eastAsia="Times New Roman" w:hAnsi="Times New Roman"/>
          <w:sz w:val="18"/>
          <w:szCs w:val="18"/>
          <w:color w:val="auto"/>
        </w:rPr>
        <w:t xml:space="preserve"> for the full year 2026 to be approximately $26 to $28 million, representing a 10% decline at the midpoint as compared to full year 2025.</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24"/>
          <w:szCs w:val="24"/>
          <w:b w:val="1"/>
          <w:bCs w:val="1"/>
          <w:color w:val="auto"/>
          <w:vertAlign w:val="superscript"/>
        </w:rPr>
        <w:t>1</w:t>
      </w:r>
      <w:r>
        <w:rPr>
          <w:rFonts w:ascii="Times New Roman" w:cs="Times New Roman" w:eastAsia="Times New Roman" w:hAnsi="Times New Roman"/>
          <w:sz w:val="18"/>
          <w:szCs w:val="18"/>
          <w:color w:val="auto"/>
        </w:rPr>
        <w:t>Cash burn is calculated as change in cash and cash equivalents less net financing proceeds.</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Conference Call</w:t>
      </w:r>
    </w:p>
    <w:p>
      <w:pPr>
        <w:spacing w:after="0" w:line="202" w:lineRule="exact"/>
        <w:rPr>
          <w:sz w:val="20"/>
          <w:szCs w:val="20"/>
          <w:color w:val="auto"/>
        </w:rPr>
      </w:pPr>
    </w:p>
    <w:p>
      <w:pPr>
        <w:ind w:right="200"/>
        <w:spacing w:after="0" w:line="261" w:lineRule="auto"/>
        <w:rPr>
          <w:sz w:val="20"/>
          <w:szCs w:val="20"/>
          <w:color w:val="auto"/>
        </w:rPr>
      </w:pPr>
      <w:r>
        <w:rPr>
          <w:rFonts w:ascii="Times New Roman" w:cs="Times New Roman" w:eastAsia="Times New Roman" w:hAnsi="Times New Roman"/>
          <w:sz w:val="18"/>
          <w:szCs w:val="18"/>
          <w:color w:val="auto"/>
        </w:rPr>
        <w:t>Hyperfine, Inc. will host a conference call at 1:30 p.m. PT/ 4:30 p.m. ET on Wednesday, March 18, 2026 to discuss its fourth quarter and full year 2025 financial results and provide a business update. Those interested in listening should register online by visiting https://investors.hyperfine.io/. and clicking on News &amp; Events. Participants are encouraged to register more than 15 minutes before the start of the call. A live and archived audio webcast will be available through the Investors page of Hyperfine, Inc.’s corporate website at https://investors.hyperfine.io/.</w:t>
      </w:r>
    </w:p>
    <w:p>
      <w:pPr>
        <w:spacing w:after="0" w:line="13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About Hyperfine, Inc. and the Swoop® Portable MR Imaging® Systems</w:t>
      </w:r>
    </w:p>
    <w:p>
      <w:pPr>
        <w:spacing w:after="0" w:line="189" w:lineRule="exact"/>
        <w:rPr>
          <w:sz w:val="20"/>
          <w:szCs w:val="20"/>
          <w:color w:val="auto"/>
        </w:rPr>
      </w:pPr>
    </w:p>
    <w:p>
      <w:pPr>
        <w:ind w:right="100"/>
        <w:spacing w:after="0" w:line="256" w:lineRule="auto"/>
        <w:rPr>
          <w:sz w:val="20"/>
          <w:szCs w:val="20"/>
          <w:color w:val="auto"/>
        </w:rPr>
      </w:pPr>
      <w:r>
        <w:rPr>
          <w:rFonts w:ascii="Times New Roman" w:cs="Times New Roman" w:eastAsia="Times New Roman" w:hAnsi="Times New Roman"/>
          <w:sz w:val="18"/>
          <w:szCs w:val="18"/>
          <w:color w:val="auto"/>
        </w:rPr>
        <w:t>Hyperfine, Inc. (Nasdaq: HYPR) is the groundbreaking health technology company that has redefined brain imaging with the Swoop® system—the first U.S. Food and Drug Administration (FDA)-cleared, portable, ultra-low-field, magnetic resonance brain imaging system capable of providing imaging at multiple points of professional care. The mission of Hyperfine, Inc. is to revolutionize patient care globally through transformational, accessible, clinically relevant diagnostic imaging. Founded by Dr. Jonathan Rothberg in a technology-based incubator called 4Catalyzer, Hyperfine, Inc. scientists, engineers, and physicists developed the Swoop® system out of a passion for redefining brain imaging methodology and how clinicians can apply accessible diagnostic imaging to patient care. For more information, visit hyperfine.io.</w:t>
      </w:r>
    </w:p>
    <w:p>
      <w:pPr>
        <w:spacing w:after="0" w:line="160" w:lineRule="exact"/>
        <w:rPr>
          <w:sz w:val="20"/>
          <w:szCs w:val="20"/>
          <w:color w:val="auto"/>
        </w:rPr>
      </w:pPr>
    </w:p>
    <w:p>
      <w:pPr>
        <w:ind w:right="80"/>
        <w:spacing w:after="0" w:line="258" w:lineRule="auto"/>
        <w:rPr>
          <w:sz w:val="20"/>
          <w:szCs w:val="20"/>
          <w:color w:val="auto"/>
        </w:rPr>
      </w:pPr>
      <w:r>
        <w:rPr>
          <w:rFonts w:ascii="Times New Roman" w:cs="Times New Roman" w:eastAsia="Times New Roman" w:hAnsi="Times New Roman"/>
          <w:sz w:val="18"/>
          <w:szCs w:val="18"/>
          <w:color w:val="auto"/>
        </w:rPr>
        <w:t>The Swoop® Portable MR Imaging® systems are FDA cleared for brain imaging of patients of all ages. They are portable, ultra-low-field magnetic resonance imaging devices for producing images that display the internal structure of the head where full diagnostic examination is not clinically practical. When interpreted by a trained physician, these images provide information that can be useful in determining a diagnosis. The Swoop® system also has CE Mark in the European Union and UKCA Mark in the United Kingdom. The Swoop® system is commercially available in a select number of international markets.</w:t>
      </w:r>
    </w:p>
    <w:p>
      <w:pPr>
        <w:spacing w:after="0" w:line="14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Hyperfine, Swoop, and Portable MR Imaging are registered trademarks of Hyperfine, Inc.</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Forward-Looking Statements</w:t>
      </w:r>
    </w:p>
    <w:p>
      <w:pPr>
        <w:spacing w:after="0" w:line="202"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This press release includes “forward-looking statements” within the meaning of the “safe harbor” provisions of the Private Securities Litigation Reform Act of 1995. Actual results of Hyperfine, Inc. (the “Company”) may differ from its expectations, estimates and projections and consequently, you should not rely on these forward-looking statements as predictions of future events. Words such as “expect,” “estimate,” “project,” “budget,” “forecast,” “anticipate,” “intend,” “plan,” “may,” “will,” “could,” “should,” “believes,” “predicts,” “potential,” “continue,” and similar expressions (or the negative versions of such words or expressions) are intended to identify such forward-looking statements. These forward-looking statements include, without limitation, expectations about the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572135</wp:posOffset>
            </wp:positionV>
            <wp:extent cx="7157720"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5" w:name="page6"/>
    <w:bookmarkEnd w:id="5"/>
    <w:p>
      <w:pPr>
        <w:ind w:right="60"/>
        <w:spacing w:after="0" w:line="244"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208280</wp:posOffset>
            </wp:positionH>
            <wp:positionV relativeFrom="page">
              <wp:posOffset>500380</wp:posOffset>
            </wp:positionV>
            <wp:extent cx="2305685" cy="36893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clrChange>
                        <a:clrFrom>
                          <a:srgbClr val="FFFFFF"/>
                        </a:clrFrom>
                        <a:clrTo>
                          <a:srgbClr val="FFFFFF">
                            <a:alpha val="0"/>
                          </a:srgbClr>
                        </a:clrTo>
                      </a:clrChange>
                      <a:extLst>
                        <a:ext uri="{28A0092B-C50C-407E-A947-70E740481C1C}"/>
                      </a:extLst>
                    </a:blip>
                    <a:srcRect/>
                    <a:stretch>
                      <a:fillRect/>
                    </a:stretch>
                  </pic:blipFill>
                  <pic:spPr bwMode="auto">
                    <a:xfrm>
                      <a:off x="0" y="0"/>
                      <a:ext cx="2305685" cy="368935"/>
                    </a:xfrm>
                    <a:prstGeom prst="rect">
                      <a:avLst/>
                    </a:prstGeom>
                    <a:noFill/>
                  </pic:spPr>
                </pic:pic>
              </a:graphicData>
            </a:graphic>
          </wp:anchor>
        </w:drawing>
        <w:t>Company’s financial and operating results, including, the Company’s expected revenue and cash burn for the full year 2026, the Company's cash runway, the Company’s goals and commercial plans, including the Company’s commercial rollout of the Company’s Optive AI</w:t>
      </w:r>
      <w:r>
        <w:rPr>
          <w:rFonts w:ascii="Times New Roman" w:cs="Times New Roman" w:eastAsia="Times New Roman" w:hAnsi="Times New Roman"/>
          <w:sz w:val="24"/>
          <w:szCs w:val="24"/>
          <w:color w:val="auto"/>
          <w:vertAlign w:val="superscript"/>
        </w:rPr>
        <w:t>TM</w:t>
      </w:r>
      <w:r>
        <w:rPr>
          <w:rFonts w:ascii="Times New Roman" w:cs="Times New Roman" w:eastAsia="Times New Roman" w:hAnsi="Times New Roman"/>
          <w:sz w:val="18"/>
          <w:szCs w:val="18"/>
          <w:color w:val="auto"/>
        </w:rPr>
        <w:t xml:space="preserve"> software and next generation Swoop® system, the acceleration of the adoption of the Swoop® system across multiple sites of care in the hospital, neurology office and international markets, the benefits of the Company’s products and services, progress on improvements and advancements in the Company’s products and services, and the Company’s future performance, including its financial performance, and its ability to implement its strategy. These forward-looking statements involve significant risks and uncertainties that could cause the actual results to differ materially from the expected results. Most of these factors are outside of the Company’s control</w:t>
      </w:r>
    </w:p>
    <w:p>
      <w:pPr>
        <w:spacing w:after="0" w:line="158" w:lineRule="exact"/>
        <w:rPr>
          <w:sz w:val="20"/>
          <w:szCs w:val="20"/>
          <w:color w:val="auto"/>
        </w:rPr>
      </w:pPr>
    </w:p>
    <w:p>
      <w:pPr>
        <w:spacing w:after="0" w:line="252" w:lineRule="auto"/>
        <w:rPr>
          <w:sz w:val="20"/>
          <w:szCs w:val="20"/>
          <w:color w:val="auto"/>
        </w:rPr>
      </w:pPr>
      <w:r>
        <w:rPr>
          <w:rFonts w:ascii="Times New Roman" w:cs="Times New Roman" w:eastAsia="Times New Roman" w:hAnsi="Times New Roman"/>
          <w:sz w:val="18"/>
          <w:szCs w:val="18"/>
          <w:color w:val="auto"/>
        </w:rPr>
        <w:t>and are difficult to predict. Factors that may cause such differences include, but are not limited to: the success, cost and timing of the Company’s product development and commercialization activities, including the degree that the Swoop® system is accepted and used by healthcare professionals; the Company’s ability to grow and manage growth profitably and retain its key employees; changes in applicable laws or regulations; the ability of the Company to raise financing in the future; the ability of the Company to obtain and maintain regulatory clearance or approval for its products, and any related restrictions and limitations of any cleared or approved product; the ability of the Company to identify, in-license or acquire additional technology; the ability of the Company to maintain its existing or future license, manufacturing, supply and distribution agreements and to obtain adequate supply of its products; existing and potential future National Institutes of Health funding pressures; existing and potential future effects from U.S. export controls and tariffs; the ability of the Company to compete with other companies currently marketing or engaged in the development of products and services that the Company is currently marketing or developing; the size and growth potential of the markets for the Company’s products and services, and its ability to serve those markets, either alone or in partnership with others; the pricing of the Company’s products and services and reimbursement for medical procedures conducted using the Company’s products and services; the Company’s ability to successfully complete and generate positive data from the PRIME study, ACTION PMR study, Contrast PMR study, CARE PMR study and NEURO PMR study; the Company’s ability to generate clinical evidence of the benefits of the Company’s products and services and to progress on product advancements and improvements; the Company’s estimates regarding expenses, revenue, capital requirements and needs for additional financing; the Company’s financial performance; and other risks and uncertainties indicated from time to time in the Company’s filings with the Securities and Exchange Commission, including those under “Risk Factors” therein. The Company cautions readers that the foregoing list of factors is not exclusive and that readers should not place undue reliance upon any forward-looking statements which speak only as of the date made. The Company does not undertake or accept any obligation or undertaking to release publicly any updates or revisions to any forward-looking statements to reflect any change in its expectations or any change in events, conditions or circumstances on which any such statement is based.</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Investor Contact</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Webb Campbell</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Gilmartin Group LLC</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webb@gilmartinir.com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584835</wp:posOffset>
            </wp:positionV>
            <wp:extent cx="7157720"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50" w:right="339" w:bottom="1440" w:gutter="0" w:footer="0" w:header="0"/>
        </w:sectPr>
      </w:pPr>
    </w:p>
    <w:bookmarkStart w:id="6" w:name="page7"/>
    <w:bookmarkEnd w:id="6"/>
    <w:tbl>
      <w:tblPr>
        <w:tblLayout w:type="fixed"/>
        <w:tblInd w:w="0" w:type="dxa"/>
        <w:tblCellMar>
          <w:top w:w="0" w:type="dxa"/>
          <w:left w:w="0" w:type="dxa"/>
          <w:bottom w:w="0" w:type="dxa"/>
          <w:right w:w="0" w:type="dxa"/>
        </w:tblCellMar>
      </w:tblPr>
      <w:tr>
        <w:trPr>
          <w:trHeight w:val="203"/>
        </w:trPr>
        <w:tc>
          <w:tcPr>
            <w:tcW w:w="420" w:type="dxa"/>
            <w:vAlign w:val="bottom"/>
          </w:tcPr>
          <w:p>
            <w:pPr>
              <w:spacing w:after="0"/>
              <w:rPr>
                <w:sz w:val="17"/>
                <w:szCs w:val="17"/>
                <w:color w:val="auto"/>
              </w:rPr>
            </w:pPr>
          </w:p>
        </w:tc>
        <w:tc>
          <w:tcPr>
            <w:tcW w:w="7040" w:type="dxa"/>
            <w:vAlign w:val="bottom"/>
          </w:tcPr>
          <w:p>
            <w:pPr>
              <w:jc w:val="center"/>
              <w:ind w:left="3239"/>
              <w:spacing w:after="0"/>
              <w:rPr>
                <w:sz w:val="20"/>
                <w:szCs w:val="20"/>
                <w:color w:val="auto"/>
              </w:rPr>
            </w:pPr>
            <w:r>
              <w:rPr>
                <w:rFonts w:ascii="Times New Roman" w:cs="Times New Roman" w:eastAsia="Times New Roman" w:hAnsi="Times New Roman"/>
                <w:sz w:val="16"/>
                <w:szCs w:val="16"/>
                <w:b w:val="1"/>
                <w:bCs w:val="1"/>
                <w:color w:val="auto"/>
              </w:rPr>
              <w:t>HYPERFINE, INC. AND SUBSIDIARIES</w:t>
            </w:r>
          </w:p>
        </w:tc>
        <w:tc>
          <w:tcPr>
            <w:tcW w:w="1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20" w:type="dxa"/>
            <w:vAlign w:val="bottom"/>
          </w:tcPr>
          <w:p>
            <w:pPr>
              <w:spacing w:after="0"/>
              <w:rPr>
                <w:sz w:val="17"/>
                <w:szCs w:val="17"/>
                <w:color w:val="auto"/>
              </w:rPr>
            </w:pPr>
          </w:p>
        </w:tc>
        <w:tc>
          <w:tcPr>
            <w:tcW w:w="7040" w:type="dxa"/>
            <w:vAlign w:val="bottom"/>
          </w:tcPr>
          <w:p>
            <w:pPr>
              <w:jc w:val="center"/>
              <w:ind w:left="3299"/>
              <w:spacing w:after="0"/>
              <w:rPr>
                <w:sz w:val="20"/>
                <w:szCs w:val="20"/>
                <w:color w:val="auto"/>
              </w:rPr>
            </w:pPr>
            <w:r>
              <w:rPr>
                <w:rFonts w:ascii="Times New Roman" w:cs="Times New Roman" w:eastAsia="Times New Roman" w:hAnsi="Times New Roman"/>
                <w:sz w:val="16"/>
                <w:szCs w:val="16"/>
                <w:b w:val="1"/>
                <w:bCs w:val="1"/>
                <w:color w:val="auto"/>
              </w:rPr>
              <w:t>CONSOLIDATED BALANCE SHEETS</w:t>
            </w:r>
          </w:p>
        </w:tc>
        <w:tc>
          <w:tcPr>
            <w:tcW w:w="1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4"/>
        </w:trPr>
        <w:tc>
          <w:tcPr>
            <w:tcW w:w="420" w:type="dxa"/>
            <w:vAlign w:val="bottom"/>
          </w:tcPr>
          <w:p>
            <w:pPr>
              <w:spacing w:after="0"/>
              <w:rPr>
                <w:sz w:val="17"/>
                <w:szCs w:val="17"/>
                <w:color w:val="auto"/>
              </w:rPr>
            </w:pPr>
          </w:p>
        </w:tc>
        <w:tc>
          <w:tcPr>
            <w:tcW w:w="7040" w:type="dxa"/>
            <w:vAlign w:val="bottom"/>
          </w:tcPr>
          <w:p>
            <w:pPr>
              <w:jc w:val="center"/>
              <w:ind w:left="3279"/>
              <w:spacing w:after="0"/>
              <w:rPr>
                <w:sz w:val="20"/>
                <w:szCs w:val="20"/>
                <w:color w:val="auto"/>
              </w:rPr>
            </w:pPr>
            <w:r>
              <w:rPr>
                <w:rFonts w:ascii="Times New Roman" w:cs="Times New Roman" w:eastAsia="Times New Roman" w:hAnsi="Times New Roman"/>
                <w:sz w:val="16"/>
                <w:szCs w:val="16"/>
                <w:i w:val="1"/>
                <w:iCs w:val="1"/>
                <w:color w:val="auto"/>
              </w:rPr>
              <w:t>(in thousands, except share and per share amounts)</w:t>
            </w:r>
          </w:p>
        </w:tc>
        <w:tc>
          <w:tcPr>
            <w:tcW w:w="1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420" w:type="dxa"/>
            <w:vAlign w:val="bottom"/>
          </w:tcPr>
          <w:p>
            <w:pPr>
              <w:spacing w:after="0"/>
              <w:rPr>
                <w:sz w:val="18"/>
                <w:szCs w:val="18"/>
                <w:color w:val="auto"/>
              </w:rPr>
            </w:pPr>
          </w:p>
        </w:tc>
        <w:tc>
          <w:tcPr>
            <w:tcW w:w="7040" w:type="dxa"/>
            <w:vAlign w:val="bottom"/>
          </w:tcPr>
          <w:p>
            <w:pPr>
              <w:jc w:val="center"/>
              <w:ind w:left="3299"/>
              <w:spacing w:after="0"/>
              <w:rPr>
                <w:sz w:val="20"/>
                <w:szCs w:val="20"/>
                <w:color w:val="auto"/>
              </w:rPr>
            </w:pPr>
            <w:r>
              <w:rPr>
                <w:rFonts w:ascii="Times New Roman" w:cs="Times New Roman" w:eastAsia="Times New Roman" w:hAnsi="Times New Roman"/>
                <w:sz w:val="16"/>
                <w:szCs w:val="16"/>
                <w:color w:val="auto"/>
              </w:rPr>
              <w:t>(Unaudited)</w:t>
            </w:r>
          </w:p>
        </w:tc>
        <w:tc>
          <w:tcPr>
            <w:tcW w:w="1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840" w:type="dxa"/>
            <w:vAlign w:val="bottom"/>
            <w:gridSpan w:val="4"/>
            <w:vMerge w:val="restart"/>
          </w:tcPr>
          <w:p>
            <w:pPr>
              <w:jc w:val="right"/>
              <w:ind w:right="120"/>
              <w:spacing w:after="0"/>
              <w:rPr>
                <w:sz w:val="20"/>
                <w:szCs w:val="20"/>
                <w:color w:val="auto"/>
              </w:rPr>
            </w:pPr>
            <w:r>
              <w:rPr>
                <w:rFonts w:ascii="Times New Roman" w:cs="Times New Roman" w:eastAsia="Times New Roman" w:hAnsi="Times New Roman"/>
                <w:sz w:val="16"/>
                <w:szCs w:val="16"/>
                <w:b w:val="1"/>
                <w:bCs w:val="1"/>
                <w:color w:val="auto"/>
              </w:rPr>
              <w:t>December 31,</w:t>
            </w:r>
          </w:p>
        </w:tc>
        <w:tc>
          <w:tcPr>
            <w:tcW w:w="10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5"/>
        </w:trPr>
        <w:tc>
          <w:tcPr>
            <w:tcW w:w="420" w:type="dxa"/>
            <w:vAlign w:val="bottom"/>
          </w:tcPr>
          <w:p>
            <w:pPr>
              <w:spacing w:after="0"/>
              <w:rPr>
                <w:sz w:val="17"/>
                <w:szCs w:val="17"/>
                <w:color w:val="auto"/>
              </w:rPr>
            </w:pPr>
          </w:p>
        </w:tc>
        <w:tc>
          <w:tcPr>
            <w:tcW w:w="70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840" w:type="dxa"/>
            <w:vAlign w:val="bottom"/>
            <w:tcBorders>
              <w:bottom w:val="single" w:sz="8" w:color="auto"/>
            </w:tcBorders>
            <w:gridSpan w:val="4"/>
            <w:vMerge w:val="continue"/>
          </w:tcPr>
          <w:p>
            <w:pPr>
              <w:spacing w:after="0"/>
              <w:rPr>
                <w:sz w:val="17"/>
                <w:szCs w:val="17"/>
                <w:color w:val="auto"/>
              </w:rPr>
            </w:pPr>
          </w:p>
        </w:tc>
        <w:tc>
          <w:tcPr>
            <w:tcW w:w="1000" w:type="dxa"/>
            <w:vAlign w:val="bottom"/>
            <w:tcBorders>
              <w:bottom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9"/>
        </w:trPr>
        <w:tc>
          <w:tcPr>
            <w:tcW w:w="420" w:type="dxa"/>
            <w:vAlign w:val="bottom"/>
          </w:tcPr>
          <w:p>
            <w:pPr>
              <w:spacing w:after="0"/>
              <w:rPr>
                <w:sz w:val="17"/>
                <w:szCs w:val="17"/>
                <w:color w:val="auto"/>
              </w:rPr>
            </w:pPr>
          </w:p>
        </w:tc>
        <w:tc>
          <w:tcPr>
            <w:tcW w:w="70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jc w:val="right"/>
              <w:ind w:right="499"/>
              <w:spacing w:after="0"/>
              <w:rPr>
                <w:sz w:val="20"/>
                <w:szCs w:val="20"/>
                <w:color w:val="auto"/>
              </w:rPr>
            </w:pPr>
            <w:r>
              <w:rPr>
                <w:rFonts w:ascii="Times New Roman" w:cs="Times New Roman" w:eastAsia="Times New Roman" w:hAnsi="Times New Roman"/>
                <w:sz w:val="16"/>
                <w:szCs w:val="16"/>
                <w:b w:val="1"/>
                <w:bCs w:val="1"/>
                <w:color w:val="auto"/>
              </w:rPr>
              <w:t>2025</w:t>
            </w: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6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right"/>
              <w:ind w:right="499"/>
              <w:spacing w:after="0"/>
              <w:rPr>
                <w:sz w:val="20"/>
                <w:szCs w:val="20"/>
                <w:color w:val="auto"/>
              </w:rPr>
            </w:pPr>
            <w:r>
              <w:rPr>
                <w:rFonts w:ascii="Times New Roman" w:cs="Times New Roman" w:eastAsia="Times New Roman" w:hAnsi="Times New Roman"/>
                <w:sz w:val="16"/>
                <w:szCs w:val="16"/>
                <w:b w:val="1"/>
                <w:bCs w:val="1"/>
                <w:color w:val="auto"/>
              </w:rPr>
              <w:t>2024</w:t>
            </w:r>
          </w:p>
        </w:tc>
        <w:tc>
          <w:tcPr>
            <w:tcW w:w="8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420" w:type="dxa"/>
            <w:vAlign w:val="bottom"/>
          </w:tcPr>
          <w:p>
            <w:pPr>
              <w:spacing w:after="0"/>
              <w:rPr>
                <w:sz w:val="17"/>
                <w:szCs w:val="17"/>
                <w:color w:val="auto"/>
              </w:rPr>
            </w:pPr>
          </w:p>
        </w:tc>
        <w:tc>
          <w:tcPr>
            <w:tcW w:w="704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b w:val="1"/>
                <w:bCs w:val="1"/>
                <w:color w:val="auto"/>
              </w:rPr>
              <w:t>ASSETS</w:t>
            </w:r>
          </w:p>
        </w:tc>
        <w:tc>
          <w:tcPr>
            <w:tcW w:w="160" w:type="dxa"/>
            <w:vAlign w:val="bottom"/>
            <w:shd w:val="clear" w:color="auto" w:fill="CFF0FC"/>
          </w:tcPr>
          <w:p>
            <w:pPr>
              <w:spacing w:after="0"/>
              <w:rPr>
                <w:sz w:val="17"/>
                <w:szCs w:val="17"/>
                <w:color w:val="auto"/>
              </w:rPr>
            </w:pPr>
          </w:p>
        </w:tc>
        <w:tc>
          <w:tcPr>
            <w:tcW w:w="300" w:type="dxa"/>
            <w:vAlign w:val="bottom"/>
            <w:shd w:val="clear" w:color="auto" w:fill="CFF0FC"/>
          </w:tcPr>
          <w:p>
            <w:pPr>
              <w:spacing w:after="0"/>
              <w:rPr>
                <w:sz w:val="17"/>
                <w:szCs w:val="17"/>
                <w:color w:val="auto"/>
              </w:rPr>
            </w:pPr>
          </w:p>
        </w:tc>
        <w:tc>
          <w:tcPr>
            <w:tcW w:w="114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460" w:type="dxa"/>
            <w:vAlign w:val="bottom"/>
            <w:shd w:val="clear" w:color="auto" w:fill="CFF0FC"/>
          </w:tcPr>
          <w:p>
            <w:pPr>
              <w:spacing w:after="0"/>
              <w:rPr>
                <w:sz w:val="17"/>
                <w:szCs w:val="17"/>
                <w:color w:val="auto"/>
              </w:rPr>
            </w:pPr>
          </w:p>
        </w:tc>
        <w:tc>
          <w:tcPr>
            <w:tcW w:w="100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4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20" w:type="dxa"/>
            <w:vAlign w:val="bottom"/>
          </w:tcPr>
          <w:p>
            <w:pPr>
              <w:spacing w:after="0"/>
              <w:rPr>
                <w:sz w:val="17"/>
                <w:szCs w:val="17"/>
                <w:color w:val="auto"/>
              </w:rPr>
            </w:pPr>
          </w:p>
        </w:tc>
        <w:tc>
          <w:tcPr>
            <w:tcW w:w="7040" w:type="dxa"/>
            <w:vAlign w:val="bottom"/>
          </w:tcPr>
          <w:p>
            <w:pPr>
              <w:spacing w:after="0"/>
              <w:rPr>
                <w:sz w:val="20"/>
                <w:szCs w:val="20"/>
                <w:color w:val="auto"/>
              </w:rPr>
            </w:pPr>
            <w:r>
              <w:rPr>
                <w:rFonts w:ascii="Times New Roman" w:cs="Times New Roman" w:eastAsia="Times New Roman" w:hAnsi="Times New Roman"/>
                <w:sz w:val="16"/>
                <w:szCs w:val="16"/>
                <w:color w:val="auto"/>
              </w:rPr>
              <w:t>CURRENT ASSETS:</w:t>
            </w:r>
          </w:p>
        </w:tc>
        <w:tc>
          <w:tcPr>
            <w:tcW w:w="1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20" w:type="dxa"/>
            <w:vAlign w:val="bottom"/>
          </w:tcPr>
          <w:p>
            <w:pPr>
              <w:spacing w:after="0"/>
              <w:rPr>
                <w:sz w:val="17"/>
                <w:szCs w:val="17"/>
                <w:color w:val="auto"/>
              </w:rPr>
            </w:pPr>
          </w:p>
        </w:tc>
        <w:tc>
          <w:tcPr>
            <w:tcW w:w="704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6"/>
                <w:szCs w:val="16"/>
                <w:color w:val="auto"/>
              </w:rPr>
              <w:t>Cash and cash equivalents</w:t>
            </w:r>
          </w:p>
        </w:tc>
        <w:tc>
          <w:tcPr>
            <w:tcW w:w="46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35,085</w:t>
            </w:r>
          </w:p>
        </w:tc>
        <w:tc>
          <w:tcPr>
            <w:tcW w:w="140" w:type="dxa"/>
            <w:vAlign w:val="bottom"/>
            <w:shd w:val="clear" w:color="auto" w:fill="CFF0FC"/>
          </w:tcPr>
          <w:p>
            <w:pPr>
              <w:spacing w:after="0"/>
              <w:rPr>
                <w:sz w:val="17"/>
                <w:szCs w:val="17"/>
                <w:color w:val="auto"/>
              </w:rPr>
            </w:pPr>
          </w:p>
        </w:tc>
        <w:tc>
          <w:tcPr>
            <w:tcW w:w="560" w:type="dxa"/>
            <w:vAlign w:val="bottom"/>
            <w:gridSpan w:val="2"/>
            <w:shd w:val="clear" w:color="auto" w:fill="CFF0FC"/>
          </w:tcPr>
          <w:p>
            <w:pPr>
              <w:jc w:val="right"/>
              <w:ind w:right="380"/>
              <w:spacing w:after="0"/>
              <w:rPr>
                <w:sz w:val="20"/>
                <w:szCs w:val="20"/>
                <w:color w:val="auto"/>
              </w:rPr>
            </w:pPr>
            <w:r>
              <w:rPr>
                <w:rFonts w:ascii="Times New Roman" w:cs="Times New Roman" w:eastAsia="Times New Roman" w:hAnsi="Times New Roman"/>
                <w:sz w:val="16"/>
                <w:szCs w:val="16"/>
                <w:color w:val="auto"/>
              </w:rPr>
              <w:t>$</w:t>
            </w: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37,645</w:t>
            </w:r>
          </w:p>
        </w:tc>
        <w:tc>
          <w:tcPr>
            <w:tcW w:w="80" w:type="dxa"/>
            <w:vAlign w:val="bottom"/>
            <w:shd w:val="clear" w:color="auto" w:fill="CFF0FC"/>
          </w:tcPr>
          <w:p>
            <w:pPr>
              <w:spacing w:after="0"/>
              <w:rPr>
                <w:sz w:val="17"/>
                <w:szCs w:val="17"/>
                <w:color w:val="auto"/>
              </w:rPr>
            </w:pPr>
          </w:p>
        </w:tc>
        <w:tc>
          <w:tcPr>
            <w:tcW w:w="4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20" w:type="dxa"/>
            <w:vAlign w:val="bottom"/>
          </w:tcPr>
          <w:p>
            <w:pPr>
              <w:spacing w:after="0"/>
              <w:rPr>
                <w:sz w:val="17"/>
                <w:szCs w:val="17"/>
                <w:color w:val="auto"/>
              </w:rPr>
            </w:pPr>
          </w:p>
        </w:tc>
        <w:tc>
          <w:tcPr>
            <w:tcW w:w="704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Restricted cash</w:t>
            </w:r>
          </w:p>
        </w:tc>
        <w:tc>
          <w:tcPr>
            <w:tcW w:w="1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957</w:t>
            </w: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28</w:t>
            </w:r>
          </w:p>
        </w:tc>
        <w:tc>
          <w:tcPr>
            <w:tcW w:w="8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20" w:type="dxa"/>
            <w:vAlign w:val="bottom"/>
          </w:tcPr>
          <w:p>
            <w:pPr>
              <w:spacing w:after="0"/>
              <w:rPr>
                <w:sz w:val="17"/>
                <w:szCs w:val="17"/>
                <w:color w:val="auto"/>
              </w:rPr>
            </w:pPr>
          </w:p>
        </w:tc>
        <w:tc>
          <w:tcPr>
            <w:tcW w:w="704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6"/>
                <w:szCs w:val="16"/>
                <w:color w:val="auto"/>
              </w:rPr>
              <w:t>Accounts receivable, less allowance of $1,372 and $651 in 2025 and 2024, respectively</w:t>
            </w:r>
          </w:p>
        </w:tc>
        <w:tc>
          <w:tcPr>
            <w:tcW w:w="160" w:type="dxa"/>
            <w:vAlign w:val="bottom"/>
            <w:shd w:val="clear" w:color="auto" w:fill="CFF0FC"/>
          </w:tcPr>
          <w:p>
            <w:pPr>
              <w:spacing w:after="0"/>
              <w:rPr>
                <w:sz w:val="17"/>
                <w:szCs w:val="17"/>
                <w:color w:val="auto"/>
              </w:rPr>
            </w:pPr>
          </w:p>
        </w:tc>
        <w:tc>
          <w:tcPr>
            <w:tcW w:w="300" w:type="dxa"/>
            <w:vAlign w:val="bottom"/>
            <w:shd w:val="clear" w:color="auto" w:fill="CFF0FC"/>
          </w:tcPr>
          <w:p>
            <w:pPr>
              <w:spacing w:after="0"/>
              <w:rPr>
                <w:sz w:val="17"/>
                <w:szCs w:val="17"/>
                <w:color w:val="auto"/>
              </w:rPr>
            </w:pP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5,254</w:t>
            </w:r>
          </w:p>
        </w:tc>
        <w:tc>
          <w:tcPr>
            <w:tcW w:w="14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460" w:type="dxa"/>
            <w:vAlign w:val="bottom"/>
            <w:shd w:val="clear" w:color="auto" w:fill="CFF0FC"/>
          </w:tcPr>
          <w:p>
            <w:pPr>
              <w:spacing w:after="0"/>
              <w:rPr>
                <w:sz w:val="17"/>
                <w:szCs w:val="17"/>
                <w:color w:val="auto"/>
              </w:rPr>
            </w:pP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5,956</w:t>
            </w:r>
          </w:p>
        </w:tc>
        <w:tc>
          <w:tcPr>
            <w:tcW w:w="80" w:type="dxa"/>
            <w:vAlign w:val="bottom"/>
            <w:shd w:val="clear" w:color="auto" w:fill="CFF0FC"/>
          </w:tcPr>
          <w:p>
            <w:pPr>
              <w:spacing w:after="0"/>
              <w:rPr>
                <w:sz w:val="17"/>
                <w:szCs w:val="17"/>
                <w:color w:val="auto"/>
              </w:rPr>
            </w:pPr>
          </w:p>
        </w:tc>
        <w:tc>
          <w:tcPr>
            <w:tcW w:w="4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20" w:type="dxa"/>
            <w:vAlign w:val="bottom"/>
          </w:tcPr>
          <w:p>
            <w:pPr>
              <w:spacing w:after="0"/>
              <w:rPr>
                <w:sz w:val="17"/>
                <w:szCs w:val="17"/>
                <w:color w:val="auto"/>
              </w:rPr>
            </w:pPr>
          </w:p>
        </w:tc>
        <w:tc>
          <w:tcPr>
            <w:tcW w:w="704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Unbilled receivables</w:t>
            </w:r>
          </w:p>
        </w:tc>
        <w:tc>
          <w:tcPr>
            <w:tcW w:w="1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1,268</w:t>
            </w: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2,349</w:t>
            </w:r>
          </w:p>
        </w:tc>
        <w:tc>
          <w:tcPr>
            <w:tcW w:w="8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20" w:type="dxa"/>
            <w:vAlign w:val="bottom"/>
          </w:tcPr>
          <w:p>
            <w:pPr>
              <w:spacing w:after="0"/>
              <w:rPr>
                <w:sz w:val="17"/>
                <w:szCs w:val="17"/>
                <w:color w:val="auto"/>
              </w:rPr>
            </w:pPr>
          </w:p>
        </w:tc>
        <w:tc>
          <w:tcPr>
            <w:tcW w:w="704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6"/>
                <w:szCs w:val="16"/>
                <w:color w:val="auto"/>
              </w:rPr>
              <w:t>Inventory</w:t>
            </w:r>
          </w:p>
        </w:tc>
        <w:tc>
          <w:tcPr>
            <w:tcW w:w="160" w:type="dxa"/>
            <w:vAlign w:val="bottom"/>
            <w:shd w:val="clear" w:color="auto" w:fill="CFF0FC"/>
          </w:tcPr>
          <w:p>
            <w:pPr>
              <w:spacing w:after="0"/>
              <w:rPr>
                <w:sz w:val="17"/>
                <w:szCs w:val="17"/>
                <w:color w:val="auto"/>
              </w:rPr>
            </w:pPr>
          </w:p>
        </w:tc>
        <w:tc>
          <w:tcPr>
            <w:tcW w:w="300" w:type="dxa"/>
            <w:vAlign w:val="bottom"/>
            <w:shd w:val="clear" w:color="auto" w:fill="CFF0FC"/>
          </w:tcPr>
          <w:p>
            <w:pPr>
              <w:spacing w:after="0"/>
              <w:rPr>
                <w:sz w:val="17"/>
                <w:szCs w:val="17"/>
                <w:color w:val="auto"/>
              </w:rPr>
            </w:pP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7,090</w:t>
            </w:r>
          </w:p>
        </w:tc>
        <w:tc>
          <w:tcPr>
            <w:tcW w:w="14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460" w:type="dxa"/>
            <w:vAlign w:val="bottom"/>
            <w:shd w:val="clear" w:color="auto" w:fill="CFF0FC"/>
          </w:tcPr>
          <w:p>
            <w:pPr>
              <w:spacing w:after="0"/>
              <w:rPr>
                <w:sz w:val="17"/>
                <w:szCs w:val="17"/>
                <w:color w:val="auto"/>
              </w:rPr>
            </w:pP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5,832</w:t>
            </w:r>
          </w:p>
        </w:tc>
        <w:tc>
          <w:tcPr>
            <w:tcW w:w="80" w:type="dxa"/>
            <w:vAlign w:val="bottom"/>
            <w:shd w:val="clear" w:color="auto" w:fill="CFF0FC"/>
          </w:tcPr>
          <w:p>
            <w:pPr>
              <w:spacing w:after="0"/>
              <w:rPr>
                <w:sz w:val="17"/>
                <w:szCs w:val="17"/>
                <w:color w:val="auto"/>
              </w:rPr>
            </w:pPr>
          </w:p>
        </w:tc>
        <w:tc>
          <w:tcPr>
            <w:tcW w:w="4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20" w:type="dxa"/>
            <w:vAlign w:val="bottom"/>
          </w:tcPr>
          <w:p>
            <w:pPr>
              <w:spacing w:after="0"/>
              <w:rPr>
                <w:sz w:val="17"/>
                <w:szCs w:val="17"/>
                <w:color w:val="auto"/>
              </w:rPr>
            </w:pPr>
          </w:p>
        </w:tc>
        <w:tc>
          <w:tcPr>
            <w:tcW w:w="704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Prepaid expenses and other current assets</w:t>
            </w:r>
          </w:p>
        </w:tc>
        <w:tc>
          <w:tcPr>
            <w:tcW w:w="160" w:type="dxa"/>
            <w:vAlign w:val="bottom"/>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1,255</w:t>
            </w: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6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1,900</w:t>
            </w:r>
          </w:p>
        </w:tc>
        <w:tc>
          <w:tcPr>
            <w:tcW w:w="8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420" w:type="dxa"/>
            <w:vAlign w:val="bottom"/>
          </w:tcPr>
          <w:p>
            <w:pPr>
              <w:spacing w:after="0"/>
              <w:rPr>
                <w:sz w:val="17"/>
                <w:szCs w:val="17"/>
                <w:color w:val="auto"/>
              </w:rPr>
            </w:pPr>
          </w:p>
        </w:tc>
        <w:tc>
          <w:tcPr>
            <w:tcW w:w="704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Total current assets</w:t>
            </w:r>
          </w:p>
        </w:tc>
        <w:tc>
          <w:tcPr>
            <w:tcW w:w="46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50,909</w:t>
            </w:r>
          </w:p>
        </w:tc>
        <w:tc>
          <w:tcPr>
            <w:tcW w:w="140" w:type="dxa"/>
            <w:vAlign w:val="bottom"/>
            <w:shd w:val="clear" w:color="auto" w:fill="CFF0FC"/>
          </w:tcPr>
          <w:p>
            <w:pPr>
              <w:spacing w:after="0"/>
              <w:rPr>
                <w:sz w:val="17"/>
                <w:szCs w:val="17"/>
                <w:color w:val="auto"/>
              </w:rPr>
            </w:pPr>
          </w:p>
        </w:tc>
        <w:tc>
          <w:tcPr>
            <w:tcW w:w="560" w:type="dxa"/>
            <w:vAlign w:val="bottom"/>
            <w:gridSpan w:val="2"/>
            <w:shd w:val="clear" w:color="auto" w:fill="CFF0FC"/>
          </w:tcPr>
          <w:p>
            <w:pPr>
              <w:jc w:val="right"/>
              <w:ind w:right="380"/>
              <w:spacing w:after="0"/>
              <w:rPr>
                <w:sz w:val="20"/>
                <w:szCs w:val="20"/>
                <w:color w:val="auto"/>
              </w:rPr>
            </w:pPr>
            <w:r>
              <w:rPr>
                <w:rFonts w:ascii="Times New Roman" w:cs="Times New Roman" w:eastAsia="Times New Roman" w:hAnsi="Times New Roman"/>
                <w:sz w:val="16"/>
                <w:szCs w:val="16"/>
                <w:color w:val="auto"/>
              </w:rPr>
              <w:t>$</w:t>
            </w: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53,710</w:t>
            </w:r>
          </w:p>
        </w:tc>
        <w:tc>
          <w:tcPr>
            <w:tcW w:w="80" w:type="dxa"/>
            <w:vAlign w:val="bottom"/>
            <w:shd w:val="clear" w:color="auto" w:fill="CFF0FC"/>
          </w:tcPr>
          <w:p>
            <w:pPr>
              <w:spacing w:after="0"/>
              <w:rPr>
                <w:sz w:val="17"/>
                <w:szCs w:val="17"/>
                <w:color w:val="auto"/>
              </w:rPr>
            </w:pPr>
          </w:p>
        </w:tc>
        <w:tc>
          <w:tcPr>
            <w:tcW w:w="4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20" w:type="dxa"/>
            <w:vAlign w:val="bottom"/>
          </w:tcPr>
          <w:p>
            <w:pPr>
              <w:spacing w:after="0"/>
              <w:rPr>
                <w:sz w:val="17"/>
                <w:szCs w:val="17"/>
                <w:color w:val="auto"/>
              </w:rPr>
            </w:pPr>
          </w:p>
        </w:tc>
        <w:tc>
          <w:tcPr>
            <w:tcW w:w="704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Property and equipment, net</w:t>
            </w:r>
          </w:p>
        </w:tc>
        <w:tc>
          <w:tcPr>
            <w:tcW w:w="1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2,549</w:t>
            </w: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3,122</w:t>
            </w:r>
          </w:p>
        </w:tc>
        <w:tc>
          <w:tcPr>
            <w:tcW w:w="8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20" w:type="dxa"/>
            <w:vAlign w:val="bottom"/>
          </w:tcPr>
          <w:p>
            <w:pPr>
              <w:spacing w:after="0"/>
              <w:rPr>
                <w:sz w:val="17"/>
                <w:szCs w:val="17"/>
                <w:color w:val="auto"/>
              </w:rPr>
            </w:pPr>
          </w:p>
        </w:tc>
        <w:tc>
          <w:tcPr>
            <w:tcW w:w="7040" w:type="dxa"/>
            <w:vAlign w:val="bottom"/>
            <w:tcBorders>
              <w:bottom w:val="single" w:sz="8" w:color="CFF0FC"/>
            </w:tcBorders>
            <w:shd w:val="clear" w:color="auto" w:fill="CFF0FC"/>
          </w:tcPr>
          <w:p>
            <w:pPr>
              <w:ind w:left="120"/>
              <w:spacing w:after="0"/>
              <w:rPr>
                <w:sz w:val="20"/>
                <w:szCs w:val="20"/>
                <w:color w:val="auto"/>
              </w:rPr>
            </w:pPr>
            <w:r>
              <w:rPr>
                <w:rFonts w:ascii="Times New Roman" w:cs="Times New Roman" w:eastAsia="Times New Roman" w:hAnsi="Times New Roman"/>
                <w:sz w:val="16"/>
                <w:szCs w:val="16"/>
                <w:color w:val="auto"/>
              </w:rPr>
              <w:t>Other long term assets</w:t>
            </w:r>
          </w:p>
        </w:tc>
        <w:tc>
          <w:tcPr>
            <w:tcW w:w="160" w:type="dxa"/>
            <w:vAlign w:val="bottom"/>
            <w:tcBorders>
              <w:bottom w:val="single" w:sz="8" w:color="CFF0FC"/>
            </w:tcBorders>
            <w:shd w:val="clear" w:color="auto" w:fill="CFF0FC"/>
          </w:tcPr>
          <w:p>
            <w:pPr>
              <w:spacing w:after="0"/>
              <w:rPr>
                <w:sz w:val="17"/>
                <w:szCs w:val="17"/>
                <w:color w:val="auto"/>
              </w:rPr>
            </w:pPr>
          </w:p>
        </w:tc>
        <w:tc>
          <w:tcPr>
            <w:tcW w:w="300" w:type="dxa"/>
            <w:vAlign w:val="bottom"/>
            <w:tcBorders>
              <w:bottom w:val="single" w:sz="8" w:color="auto"/>
            </w:tcBorders>
            <w:shd w:val="clear" w:color="auto" w:fill="CFF0FC"/>
          </w:tcPr>
          <w:p>
            <w:pPr>
              <w:spacing w:after="0"/>
              <w:rPr>
                <w:sz w:val="17"/>
                <w:szCs w:val="17"/>
                <w:color w:val="auto"/>
              </w:rPr>
            </w:pPr>
          </w:p>
        </w:tc>
        <w:tc>
          <w:tcPr>
            <w:tcW w:w="11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1,804</w:t>
            </w:r>
          </w:p>
        </w:tc>
        <w:tc>
          <w:tcPr>
            <w:tcW w:w="140" w:type="dxa"/>
            <w:vAlign w:val="bottom"/>
            <w:tcBorders>
              <w:bottom w:val="single" w:sz="8" w:color="CFF0FC"/>
            </w:tcBorders>
            <w:shd w:val="clear" w:color="auto" w:fill="CFF0FC"/>
          </w:tcPr>
          <w:p>
            <w:pPr>
              <w:spacing w:after="0"/>
              <w:rPr>
                <w:sz w:val="17"/>
                <w:szCs w:val="17"/>
                <w:color w:val="auto"/>
              </w:rPr>
            </w:pPr>
          </w:p>
        </w:tc>
        <w:tc>
          <w:tcPr>
            <w:tcW w:w="100" w:type="dxa"/>
            <w:vAlign w:val="bottom"/>
            <w:tcBorders>
              <w:bottom w:val="single" w:sz="8" w:color="CFF0FC"/>
            </w:tcBorders>
            <w:shd w:val="clear" w:color="auto" w:fill="CFF0FC"/>
          </w:tcPr>
          <w:p>
            <w:pPr>
              <w:spacing w:after="0"/>
              <w:rPr>
                <w:sz w:val="17"/>
                <w:szCs w:val="17"/>
                <w:color w:val="auto"/>
              </w:rPr>
            </w:pPr>
          </w:p>
        </w:tc>
        <w:tc>
          <w:tcPr>
            <w:tcW w:w="460" w:type="dxa"/>
            <w:vAlign w:val="bottom"/>
            <w:tcBorders>
              <w:bottom w:val="single" w:sz="8" w:color="auto"/>
            </w:tcBorders>
            <w:shd w:val="clear" w:color="auto" w:fill="CFF0FC"/>
          </w:tcPr>
          <w:p>
            <w:pPr>
              <w:spacing w:after="0"/>
              <w:rPr>
                <w:sz w:val="17"/>
                <w:szCs w:val="17"/>
                <w:color w:val="auto"/>
              </w:rPr>
            </w:pPr>
          </w:p>
        </w:tc>
        <w:tc>
          <w:tcPr>
            <w:tcW w:w="10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2,069</w:t>
            </w:r>
          </w:p>
        </w:tc>
        <w:tc>
          <w:tcPr>
            <w:tcW w:w="80" w:type="dxa"/>
            <w:vAlign w:val="bottom"/>
            <w:tcBorders>
              <w:bottom w:val="single" w:sz="8" w:color="CFF0FC"/>
            </w:tcBorders>
            <w:shd w:val="clear" w:color="auto" w:fill="CFF0FC"/>
          </w:tcPr>
          <w:p>
            <w:pPr>
              <w:spacing w:after="0"/>
              <w:rPr>
                <w:sz w:val="17"/>
                <w:szCs w:val="17"/>
                <w:color w:val="auto"/>
              </w:rPr>
            </w:pPr>
          </w:p>
        </w:tc>
        <w:tc>
          <w:tcPr>
            <w:tcW w:w="4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7460" w:type="dxa"/>
            <w:vAlign w:val="bottom"/>
            <w:gridSpan w:val="2"/>
          </w:tcPr>
          <w:p>
            <w:pPr>
              <w:ind w:left="400"/>
              <w:spacing w:after="0"/>
              <w:rPr>
                <w:sz w:val="20"/>
                <w:szCs w:val="20"/>
                <w:color w:val="auto"/>
              </w:rPr>
            </w:pPr>
            <w:r>
              <w:rPr>
                <w:rFonts w:ascii="Times New Roman" w:cs="Times New Roman" w:eastAsia="Times New Roman" w:hAnsi="Times New Roman"/>
                <w:sz w:val="16"/>
                <w:szCs w:val="16"/>
                <w:b w:val="1"/>
                <w:bCs w:val="1"/>
                <w:color w:val="auto"/>
              </w:rPr>
              <w:t>Total assets</w:t>
            </w:r>
          </w:p>
        </w:tc>
        <w:tc>
          <w:tcPr>
            <w:tcW w:w="46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b w:val="1"/>
                <w:bCs w:val="1"/>
                <w:color w:val="auto"/>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55,262</w:t>
            </w:r>
          </w:p>
        </w:tc>
        <w:tc>
          <w:tcPr>
            <w:tcW w:w="140" w:type="dxa"/>
            <w:vAlign w:val="bottom"/>
          </w:tcPr>
          <w:p>
            <w:pPr>
              <w:spacing w:after="0"/>
              <w:rPr>
                <w:sz w:val="17"/>
                <w:szCs w:val="17"/>
                <w:color w:val="auto"/>
              </w:rPr>
            </w:pPr>
          </w:p>
        </w:tc>
        <w:tc>
          <w:tcPr>
            <w:tcW w:w="560" w:type="dxa"/>
            <w:vAlign w:val="bottom"/>
            <w:gridSpan w:val="2"/>
          </w:tcPr>
          <w:p>
            <w:pPr>
              <w:jc w:val="right"/>
              <w:ind w:right="380"/>
              <w:spacing w:after="0"/>
              <w:rPr>
                <w:sz w:val="20"/>
                <w:szCs w:val="20"/>
                <w:color w:val="auto"/>
              </w:rPr>
            </w:pPr>
            <w:r>
              <w:rPr>
                <w:rFonts w:ascii="Times New Roman" w:cs="Times New Roman" w:eastAsia="Times New Roman" w:hAnsi="Times New Roman"/>
                <w:sz w:val="16"/>
                <w:szCs w:val="16"/>
                <w:b w:val="1"/>
                <w:bCs w:val="1"/>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58,901</w:t>
            </w:r>
          </w:p>
        </w:tc>
        <w:tc>
          <w:tcPr>
            <w:tcW w:w="8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420" w:type="dxa"/>
            <w:vAlign w:val="bottom"/>
          </w:tcPr>
          <w:p>
            <w:pPr>
              <w:spacing w:after="0" w:line="20" w:lineRule="exact"/>
              <w:rPr>
                <w:sz w:val="1"/>
                <w:szCs w:val="1"/>
                <w:color w:val="auto"/>
              </w:rPr>
            </w:pPr>
          </w:p>
        </w:tc>
        <w:tc>
          <w:tcPr>
            <w:tcW w:w="70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420" w:type="dxa"/>
            <w:vAlign w:val="bottom"/>
          </w:tcPr>
          <w:p>
            <w:pPr>
              <w:spacing w:after="0"/>
              <w:rPr>
                <w:sz w:val="15"/>
                <w:szCs w:val="15"/>
                <w:color w:val="auto"/>
              </w:rPr>
            </w:pPr>
          </w:p>
        </w:tc>
        <w:tc>
          <w:tcPr>
            <w:tcW w:w="704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b w:val="1"/>
                <w:bCs w:val="1"/>
                <w:color w:val="auto"/>
              </w:rPr>
              <w:t>LIABILITIES AND STOCKHOLDERS' EQUITY</w:t>
            </w:r>
          </w:p>
        </w:tc>
        <w:tc>
          <w:tcPr>
            <w:tcW w:w="160" w:type="dxa"/>
            <w:vAlign w:val="bottom"/>
            <w:shd w:val="clear" w:color="auto" w:fill="CFF0FC"/>
          </w:tcPr>
          <w:p>
            <w:pPr>
              <w:spacing w:after="0"/>
              <w:rPr>
                <w:sz w:val="15"/>
                <w:szCs w:val="15"/>
                <w:color w:val="auto"/>
              </w:rPr>
            </w:pPr>
          </w:p>
        </w:tc>
        <w:tc>
          <w:tcPr>
            <w:tcW w:w="300" w:type="dxa"/>
            <w:vAlign w:val="bottom"/>
            <w:shd w:val="clear" w:color="auto" w:fill="CFF0FC"/>
          </w:tcPr>
          <w:p>
            <w:pPr>
              <w:spacing w:after="0"/>
              <w:rPr>
                <w:sz w:val="15"/>
                <w:szCs w:val="15"/>
                <w:color w:val="auto"/>
              </w:rPr>
            </w:pPr>
          </w:p>
        </w:tc>
        <w:tc>
          <w:tcPr>
            <w:tcW w:w="114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460" w:type="dxa"/>
            <w:vAlign w:val="bottom"/>
            <w:shd w:val="clear" w:color="auto" w:fill="CFF0FC"/>
          </w:tcPr>
          <w:p>
            <w:pPr>
              <w:spacing w:after="0"/>
              <w:rPr>
                <w:sz w:val="15"/>
                <w:szCs w:val="15"/>
                <w:color w:val="auto"/>
              </w:rPr>
            </w:pPr>
          </w:p>
        </w:tc>
        <w:tc>
          <w:tcPr>
            <w:tcW w:w="100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4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420" w:type="dxa"/>
            <w:vAlign w:val="bottom"/>
          </w:tcPr>
          <w:p>
            <w:pPr>
              <w:spacing w:after="0"/>
              <w:rPr>
                <w:sz w:val="17"/>
                <w:szCs w:val="17"/>
                <w:color w:val="auto"/>
              </w:rPr>
            </w:pPr>
          </w:p>
        </w:tc>
        <w:tc>
          <w:tcPr>
            <w:tcW w:w="7040" w:type="dxa"/>
            <w:vAlign w:val="bottom"/>
          </w:tcPr>
          <w:p>
            <w:pPr>
              <w:spacing w:after="0"/>
              <w:rPr>
                <w:sz w:val="20"/>
                <w:szCs w:val="20"/>
                <w:color w:val="auto"/>
              </w:rPr>
            </w:pPr>
            <w:r>
              <w:rPr>
                <w:rFonts w:ascii="Times New Roman" w:cs="Times New Roman" w:eastAsia="Times New Roman" w:hAnsi="Times New Roman"/>
                <w:sz w:val="16"/>
                <w:szCs w:val="16"/>
                <w:color w:val="auto"/>
              </w:rPr>
              <w:t>CURRENT LIABILITIES:</w:t>
            </w:r>
          </w:p>
        </w:tc>
        <w:tc>
          <w:tcPr>
            <w:tcW w:w="1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20" w:type="dxa"/>
            <w:vAlign w:val="bottom"/>
          </w:tcPr>
          <w:p>
            <w:pPr>
              <w:spacing w:after="0"/>
              <w:rPr>
                <w:sz w:val="17"/>
                <w:szCs w:val="17"/>
                <w:color w:val="auto"/>
              </w:rPr>
            </w:pPr>
          </w:p>
        </w:tc>
        <w:tc>
          <w:tcPr>
            <w:tcW w:w="704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6"/>
                <w:szCs w:val="16"/>
                <w:color w:val="auto"/>
              </w:rPr>
              <w:t>Accounts payable</w:t>
            </w:r>
          </w:p>
        </w:tc>
        <w:tc>
          <w:tcPr>
            <w:tcW w:w="46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4,051</w:t>
            </w:r>
          </w:p>
        </w:tc>
        <w:tc>
          <w:tcPr>
            <w:tcW w:w="140" w:type="dxa"/>
            <w:vAlign w:val="bottom"/>
            <w:shd w:val="clear" w:color="auto" w:fill="CFF0FC"/>
          </w:tcPr>
          <w:p>
            <w:pPr>
              <w:spacing w:after="0"/>
              <w:rPr>
                <w:sz w:val="17"/>
                <w:szCs w:val="17"/>
                <w:color w:val="auto"/>
              </w:rPr>
            </w:pPr>
          </w:p>
        </w:tc>
        <w:tc>
          <w:tcPr>
            <w:tcW w:w="560" w:type="dxa"/>
            <w:vAlign w:val="bottom"/>
            <w:gridSpan w:val="2"/>
            <w:shd w:val="clear" w:color="auto" w:fill="CFF0FC"/>
          </w:tcPr>
          <w:p>
            <w:pPr>
              <w:jc w:val="right"/>
              <w:ind w:right="380"/>
              <w:spacing w:after="0"/>
              <w:rPr>
                <w:sz w:val="20"/>
                <w:szCs w:val="20"/>
                <w:color w:val="auto"/>
              </w:rPr>
            </w:pPr>
            <w:r>
              <w:rPr>
                <w:rFonts w:ascii="Times New Roman" w:cs="Times New Roman" w:eastAsia="Times New Roman" w:hAnsi="Times New Roman"/>
                <w:sz w:val="16"/>
                <w:szCs w:val="16"/>
                <w:color w:val="auto"/>
              </w:rPr>
              <w:t>$</w:t>
            </w: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1,607</w:t>
            </w:r>
          </w:p>
        </w:tc>
        <w:tc>
          <w:tcPr>
            <w:tcW w:w="80" w:type="dxa"/>
            <w:vAlign w:val="bottom"/>
            <w:shd w:val="clear" w:color="auto" w:fill="CFF0FC"/>
          </w:tcPr>
          <w:p>
            <w:pPr>
              <w:spacing w:after="0"/>
              <w:rPr>
                <w:sz w:val="17"/>
                <w:szCs w:val="17"/>
                <w:color w:val="auto"/>
              </w:rPr>
            </w:pPr>
          </w:p>
        </w:tc>
        <w:tc>
          <w:tcPr>
            <w:tcW w:w="4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20" w:type="dxa"/>
            <w:vAlign w:val="bottom"/>
          </w:tcPr>
          <w:p>
            <w:pPr>
              <w:spacing w:after="0"/>
              <w:rPr>
                <w:sz w:val="17"/>
                <w:szCs w:val="17"/>
                <w:color w:val="auto"/>
              </w:rPr>
            </w:pPr>
          </w:p>
        </w:tc>
        <w:tc>
          <w:tcPr>
            <w:tcW w:w="704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Deferred grant funding</w:t>
            </w:r>
          </w:p>
        </w:tc>
        <w:tc>
          <w:tcPr>
            <w:tcW w:w="1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957</w:t>
            </w: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28</w:t>
            </w:r>
          </w:p>
        </w:tc>
        <w:tc>
          <w:tcPr>
            <w:tcW w:w="8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20" w:type="dxa"/>
            <w:vAlign w:val="bottom"/>
          </w:tcPr>
          <w:p>
            <w:pPr>
              <w:spacing w:after="0"/>
              <w:rPr>
                <w:sz w:val="17"/>
                <w:szCs w:val="17"/>
                <w:color w:val="auto"/>
              </w:rPr>
            </w:pPr>
          </w:p>
        </w:tc>
        <w:tc>
          <w:tcPr>
            <w:tcW w:w="704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6"/>
                <w:szCs w:val="16"/>
                <w:color w:val="auto"/>
              </w:rPr>
              <w:t>Deferred revenue</w:t>
            </w:r>
          </w:p>
        </w:tc>
        <w:tc>
          <w:tcPr>
            <w:tcW w:w="160" w:type="dxa"/>
            <w:vAlign w:val="bottom"/>
            <w:shd w:val="clear" w:color="auto" w:fill="CFF0FC"/>
          </w:tcPr>
          <w:p>
            <w:pPr>
              <w:spacing w:after="0"/>
              <w:rPr>
                <w:sz w:val="17"/>
                <w:szCs w:val="17"/>
                <w:color w:val="auto"/>
              </w:rPr>
            </w:pPr>
          </w:p>
        </w:tc>
        <w:tc>
          <w:tcPr>
            <w:tcW w:w="300" w:type="dxa"/>
            <w:vAlign w:val="bottom"/>
            <w:shd w:val="clear" w:color="auto" w:fill="CFF0FC"/>
          </w:tcPr>
          <w:p>
            <w:pPr>
              <w:spacing w:after="0"/>
              <w:rPr>
                <w:sz w:val="17"/>
                <w:szCs w:val="17"/>
                <w:color w:val="auto"/>
              </w:rPr>
            </w:pP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1,544</w:t>
            </w:r>
          </w:p>
        </w:tc>
        <w:tc>
          <w:tcPr>
            <w:tcW w:w="14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460" w:type="dxa"/>
            <w:vAlign w:val="bottom"/>
            <w:shd w:val="clear" w:color="auto" w:fill="CFF0FC"/>
          </w:tcPr>
          <w:p>
            <w:pPr>
              <w:spacing w:after="0"/>
              <w:rPr>
                <w:sz w:val="17"/>
                <w:szCs w:val="17"/>
                <w:color w:val="auto"/>
              </w:rPr>
            </w:pP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1,460</w:t>
            </w:r>
          </w:p>
        </w:tc>
        <w:tc>
          <w:tcPr>
            <w:tcW w:w="80" w:type="dxa"/>
            <w:vAlign w:val="bottom"/>
            <w:shd w:val="clear" w:color="auto" w:fill="CFF0FC"/>
          </w:tcPr>
          <w:p>
            <w:pPr>
              <w:spacing w:after="0"/>
              <w:rPr>
                <w:sz w:val="17"/>
                <w:szCs w:val="17"/>
                <w:color w:val="auto"/>
              </w:rPr>
            </w:pPr>
          </w:p>
        </w:tc>
        <w:tc>
          <w:tcPr>
            <w:tcW w:w="4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20" w:type="dxa"/>
            <w:vAlign w:val="bottom"/>
          </w:tcPr>
          <w:p>
            <w:pPr>
              <w:spacing w:after="0"/>
              <w:rPr>
                <w:sz w:val="17"/>
                <w:szCs w:val="17"/>
                <w:color w:val="auto"/>
              </w:rPr>
            </w:pPr>
          </w:p>
        </w:tc>
        <w:tc>
          <w:tcPr>
            <w:tcW w:w="704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Due to related parties</w:t>
            </w:r>
          </w:p>
        </w:tc>
        <w:tc>
          <w:tcPr>
            <w:tcW w:w="1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50</w:t>
            </w: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61</w:t>
            </w:r>
          </w:p>
        </w:tc>
        <w:tc>
          <w:tcPr>
            <w:tcW w:w="8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20" w:type="dxa"/>
            <w:vAlign w:val="bottom"/>
          </w:tcPr>
          <w:p>
            <w:pPr>
              <w:spacing w:after="0"/>
              <w:rPr>
                <w:sz w:val="17"/>
                <w:szCs w:val="17"/>
                <w:color w:val="auto"/>
              </w:rPr>
            </w:pPr>
          </w:p>
        </w:tc>
        <w:tc>
          <w:tcPr>
            <w:tcW w:w="7040" w:type="dxa"/>
            <w:vAlign w:val="bottom"/>
            <w:tcBorders>
              <w:bottom w:val="single" w:sz="8" w:color="CFF0FC"/>
            </w:tcBorders>
            <w:shd w:val="clear" w:color="auto" w:fill="CFF0FC"/>
          </w:tcPr>
          <w:p>
            <w:pPr>
              <w:ind w:left="120"/>
              <w:spacing w:after="0"/>
              <w:rPr>
                <w:sz w:val="20"/>
                <w:szCs w:val="20"/>
                <w:color w:val="auto"/>
              </w:rPr>
            </w:pPr>
            <w:r>
              <w:rPr>
                <w:rFonts w:ascii="Times New Roman" w:cs="Times New Roman" w:eastAsia="Times New Roman" w:hAnsi="Times New Roman"/>
                <w:sz w:val="16"/>
                <w:szCs w:val="16"/>
                <w:color w:val="auto"/>
              </w:rPr>
              <w:t>Accrued expenses and other current liabilities</w:t>
            </w:r>
          </w:p>
        </w:tc>
        <w:tc>
          <w:tcPr>
            <w:tcW w:w="160" w:type="dxa"/>
            <w:vAlign w:val="bottom"/>
            <w:tcBorders>
              <w:bottom w:val="single" w:sz="8" w:color="CFF0FC"/>
            </w:tcBorders>
            <w:shd w:val="clear" w:color="auto" w:fill="CFF0FC"/>
          </w:tcPr>
          <w:p>
            <w:pPr>
              <w:spacing w:after="0"/>
              <w:rPr>
                <w:sz w:val="17"/>
                <w:szCs w:val="17"/>
                <w:color w:val="auto"/>
              </w:rPr>
            </w:pPr>
          </w:p>
        </w:tc>
        <w:tc>
          <w:tcPr>
            <w:tcW w:w="300" w:type="dxa"/>
            <w:vAlign w:val="bottom"/>
            <w:tcBorders>
              <w:bottom w:val="single" w:sz="8" w:color="auto"/>
            </w:tcBorders>
            <w:shd w:val="clear" w:color="auto" w:fill="CFF0FC"/>
          </w:tcPr>
          <w:p>
            <w:pPr>
              <w:spacing w:after="0"/>
              <w:rPr>
                <w:sz w:val="17"/>
                <w:szCs w:val="17"/>
                <w:color w:val="auto"/>
              </w:rPr>
            </w:pPr>
          </w:p>
        </w:tc>
        <w:tc>
          <w:tcPr>
            <w:tcW w:w="11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5,130</w:t>
            </w:r>
          </w:p>
        </w:tc>
        <w:tc>
          <w:tcPr>
            <w:tcW w:w="140" w:type="dxa"/>
            <w:vAlign w:val="bottom"/>
            <w:tcBorders>
              <w:bottom w:val="single" w:sz="8" w:color="CFF0FC"/>
            </w:tcBorders>
            <w:shd w:val="clear" w:color="auto" w:fill="CFF0FC"/>
          </w:tcPr>
          <w:p>
            <w:pPr>
              <w:spacing w:after="0"/>
              <w:rPr>
                <w:sz w:val="17"/>
                <w:szCs w:val="17"/>
                <w:color w:val="auto"/>
              </w:rPr>
            </w:pPr>
          </w:p>
        </w:tc>
        <w:tc>
          <w:tcPr>
            <w:tcW w:w="100" w:type="dxa"/>
            <w:vAlign w:val="bottom"/>
            <w:tcBorders>
              <w:bottom w:val="single" w:sz="8" w:color="CFF0FC"/>
            </w:tcBorders>
            <w:shd w:val="clear" w:color="auto" w:fill="CFF0FC"/>
          </w:tcPr>
          <w:p>
            <w:pPr>
              <w:spacing w:after="0"/>
              <w:rPr>
                <w:sz w:val="17"/>
                <w:szCs w:val="17"/>
                <w:color w:val="auto"/>
              </w:rPr>
            </w:pPr>
          </w:p>
        </w:tc>
        <w:tc>
          <w:tcPr>
            <w:tcW w:w="460" w:type="dxa"/>
            <w:vAlign w:val="bottom"/>
            <w:tcBorders>
              <w:bottom w:val="single" w:sz="8" w:color="auto"/>
            </w:tcBorders>
            <w:shd w:val="clear" w:color="auto" w:fill="CFF0FC"/>
          </w:tcPr>
          <w:p>
            <w:pPr>
              <w:spacing w:after="0"/>
              <w:rPr>
                <w:sz w:val="17"/>
                <w:szCs w:val="17"/>
                <w:color w:val="auto"/>
              </w:rPr>
            </w:pPr>
          </w:p>
        </w:tc>
        <w:tc>
          <w:tcPr>
            <w:tcW w:w="10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5,573</w:t>
            </w:r>
          </w:p>
        </w:tc>
        <w:tc>
          <w:tcPr>
            <w:tcW w:w="80" w:type="dxa"/>
            <w:vAlign w:val="bottom"/>
            <w:tcBorders>
              <w:bottom w:val="single" w:sz="8" w:color="CFF0FC"/>
            </w:tcBorders>
            <w:shd w:val="clear" w:color="auto" w:fill="CFF0FC"/>
          </w:tcPr>
          <w:p>
            <w:pPr>
              <w:spacing w:after="0"/>
              <w:rPr>
                <w:sz w:val="17"/>
                <w:szCs w:val="17"/>
                <w:color w:val="auto"/>
              </w:rPr>
            </w:pPr>
          </w:p>
        </w:tc>
        <w:tc>
          <w:tcPr>
            <w:tcW w:w="4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420" w:type="dxa"/>
            <w:vAlign w:val="bottom"/>
          </w:tcPr>
          <w:p>
            <w:pPr>
              <w:spacing w:after="0"/>
              <w:rPr>
                <w:sz w:val="17"/>
                <w:szCs w:val="17"/>
                <w:color w:val="auto"/>
              </w:rPr>
            </w:pPr>
          </w:p>
        </w:tc>
        <w:tc>
          <w:tcPr>
            <w:tcW w:w="7040" w:type="dxa"/>
            <w:vAlign w:val="bottom"/>
          </w:tcPr>
          <w:p>
            <w:pPr>
              <w:spacing w:after="0"/>
              <w:rPr>
                <w:sz w:val="20"/>
                <w:szCs w:val="20"/>
                <w:color w:val="auto"/>
              </w:rPr>
            </w:pPr>
            <w:r>
              <w:rPr>
                <w:rFonts w:ascii="Times New Roman" w:cs="Times New Roman" w:eastAsia="Times New Roman" w:hAnsi="Times New Roman"/>
                <w:sz w:val="16"/>
                <w:szCs w:val="16"/>
                <w:color w:val="auto"/>
              </w:rPr>
              <w:t>Total current liabilities</w:t>
            </w:r>
          </w:p>
        </w:tc>
        <w:tc>
          <w:tcPr>
            <w:tcW w:w="46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11,732</w:t>
            </w:r>
          </w:p>
        </w:tc>
        <w:tc>
          <w:tcPr>
            <w:tcW w:w="140" w:type="dxa"/>
            <w:vAlign w:val="bottom"/>
          </w:tcPr>
          <w:p>
            <w:pPr>
              <w:spacing w:after="0"/>
              <w:rPr>
                <w:sz w:val="17"/>
                <w:szCs w:val="17"/>
                <w:color w:val="auto"/>
              </w:rPr>
            </w:pPr>
          </w:p>
        </w:tc>
        <w:tc>
          <w:tcPr>
            <w:tcW w:w="560" w:type="dxa"/>
            <w:vAlign w:val="bottom"/>
            <w:gridSpan w:val="2"/>
          </w:tcPr>
          <w:p>
            <w:pPr>
              <w:jc w:val="right"/>
              <w:ind w:right="380"/>
              <w:spacing w:after="0"/>
              <w:rPr>
                <w:sz w:val="20"/>
                <w:szCs w:val="20"/>
                <w:color w:val="auto"/>
              </w:rPr>
            </w:pPr>
            <w:r>
              <w:rPr>
                <w:rFonts w:ascii="Times New Roman" w:cs="Times New Roman" w:eastAsia="Times New Roman" w:hAnsi="Times New Roman"/>
                <w:sz w:val="16"/>
                <w:szCs w:val="16"/>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8,729</w:t>
            </w:r>
          </w:p>
        </w:tc>
        <w:tc>
          <w:tcPr>
            <w:tcW w:w="8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20" w:type="dxa"/>
            <w:vAlign w:val="bottom"/>
          </w:tcPr>
          <w:p>
            <w:pPr>
              <w:spacing w:after="0"/>
              <w:rPr>
                <w:sz w:val="17"/>
                <w:szCs w:val="17"/>
                <w:color w:val="auto"/>
              </w:rPr>
            </w:pPr>
          </w:p>
        </w:tc>
        <w:tc>
          <w:tcPr>
            <w:tcW w:w="704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6"/>
                <w:szCs w:val="16"/>
                <w:color w:val="auto"/>
              </w:rPr>
              <w:t>Warrant liabilities</w:t>
            </w:r>
          </w:p>
        </w:tc>
        <w:tc>
          <w:tcPr>
            <w:tcW w:w="160" w:type="dxa"/>
            <w:vAlign w:val="bottom"/>
            <w:shd w:val="clear" w:color="auto" w:fill="CFF0FC"/>
          </w:tcPr>
          <w:p>
            <w:pPr>
              <w:spacing w:after="0"/>
              <w:rPr>
                <w:sz w:val="17"/>
                <w:szCs w:val="17"/>
                <w:color w:val="auto"/>
              </w:rPr>
            </w:pPr>
          </w:p>
        </w:tc>
        <w:tc>
          <w:tcPr>
            <w:tcW w:w="300" w:type="dxa"/>
            <w:vAlign w:val="bottom"/>
            <w:shd w:val="clear" w:color="auto" w:fill="CFF0FC"/>
          </w:tcPr>
          <w:p>
            <w:pPr>
              <w:spacing w:after="0"/>
              <w:rPr>
                <w:sz w:val="17"/>
                <w:szCs w:val="17"/>
                <w:color w:val="auto"/>
              </w:rPr>
            </w:pP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1,730</w:t>
            </w:r>
          </w:p>
        </w:tc>
        <w:tc>
          <w:tcPr>
            <w:tcW w:w="14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460" w:type="dxa"/>
            <w:vAlign w:val="bottom"/>
            <w:shd w:val="clear" w:color="auto" w:fill="CFF0FC"/>
          </w:tcPr>
          <w:p>
            <w:pPr>
              <w:spacing w:after="0"/>
              <w:rPr>
                <w:sz w:val="17"/>
                <w:szCs w:val="17"/>
                <w:color w:val="auto"/>
              </w:rPr>
            </w:pPr>
          </w:p>
        </w:tc>
        <w:tc>
          <w:tcPr>
            <w:tcW w:w="108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4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20" w:type="dxa"/>
            <w:vAlign w:val="bottom"/>
          </w:tcPr>
          <w:p>
            <w:pPr>
              <w:spacing w:after="0"/>
              <w:rPr>
                <w:sz w:val="17"/>
                <w:szCs w:val="17"/>
                <w:color w:val="auto"/>
              </w:rPr>
            </w:pPr>
          </w:p>
        </w:tc>
        <w:tc>
          <w:tcPr>
            <w:tcW w:w="704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Long term deferred revenue</w:t>
            </w:r>
          </w:p>
        </w:tc>
        <w:tc>
          <w:tcPr>
            <w:tcW w:w="1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729</w:t>
            </w: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1,054</w:t>
            </w:r>
          </w:p>
        </w:tc>
        <w:tc>
          <w:tcPr>
            <w:tcW w:w="8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20" w:type="dxa"/>
            <w:vAlign w:val="bottom"/>
          </w:tcPr>
          <w:p>
            <w:pPr>
              <w:spacing w:after="0"/>
              <w:rPr>
                <w:sz w:val="17"/>
                <w:szCs w:val="17"/>
                <w:color w:val="auto"/>
              </w:rPr>
            </w:pPr>
          </w:p>
        </w:tc>
        <w:tc>
          <w:tcPr>
            <w:tcW w:w="7040" w:type="dxa"/>
            <w:vAlign w:val="bottom"/>
            <w:tcBorders>
              <w:bottom w:val="single" w:sz="8" w:color="CFF0FC"/>
            </w:tcBorders>
            <w:shd w:val="clear" w:color="auto" w:fill="CFF0FC"/>
          </w:tcPr>
          <w:p>
            <w:pPr>
              <w:ind w:left="120"/>
              <w:spacing w:after="0"/>
              <w:rPr>
                <w:sz w:val="20"/>
                <w:szCs w:val="20"/>
                <w:color w:val="auto"/>
              </w:rPr>
            </w:pPr>
            <w:r>
              <w:rPr>
                <w:rFonts w:ascii="Times New Roman" w:cs="Times New Roman" w:eastAsia="Times New Roman" w:hAnsi="Times New Roman"/>
                <w:sz w:val="16"/>
                <w:szCs w:val="16"/>
                <w:color w:val="auto"/>
              </w:rPr>
              <w:t>Other noncurrent liabilities</w:t>
            </w:r>
          </w:p>
        </w:tc>
        <w:tc>
          <w:tcPr>
            <w:tcW w:w="160" w:type="dxa"/>
            <w:vAlign w:val="bottom"/>
            <w:tcBorders>
              <w:bottom w:val="single" w:sz="8" w:color="CFF0FC"/>
            </w:tcBorders>
            <w:shd w:val="clear" w:color="auto" w:fill="CFF0FC"/>
          </w:tcPr>
          <w:p>
            <w:pPr>
              <w:spacing w:after="0"/>
              <w:rPr>
                <w:sz w:val="17"/>
                <w:szCs w:val="17"/>
                <w:color w:val="auto"/>
              </w:rPr>
            </w:pPr>
          </w:p>
        </w:tc>
        <w:tc>
          <w:tcPr>
            <w:tcW w:w="300" w:type="dxa"/>
            <w:vAlign w:val="bottom"/>
            <w:tcBorders>
              <w:bottom w:val="single" w:sz="8" w:color="auto"/>
            </w:tcBorders>
            <w:shd w:val="clear" w:color="auto" w:fill="CFF0FC"/>
          </w:tcPr>
          <w:p>
            <w:pPr>
              <w:spacing w:after="0"/>
              <w:rPr>
                <w:sz w:val="17"/>
                <w:szCs w:val="17"/>
                <w:color w:val="auto"/>
              </w:rPr>
            </w:pPr>
          </w:p>
        </w:tc>
        <w:tc>
          <w:tcPr>
            <w:tcW w:w="11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66</w:t>
            </w:r>
          </w:p>
        </w:tc>
        <w:tc>
          <w:tcPr>
            <w:tcW w:w="140" w:type="dxa"/>
            <w:vAlign w:val="bottom"/>
            <w:tcBorders>
              <w:bottom w:val="single" w:sz="8" w:color="CFF0FC"/>
            </w:tcBorders>
            <w:shd w:val="clear" w:color="auto" w:fill="CFF0FC"/>
          </w:tcPr>
          <w:p>
            <w:pPr>
              <w:spacing w:after="0"/>
              <w:rPr>
                <w:sz w:val="17"/>
                <w:szCs w:val="17"/>
                <w:color w:val="auto"/>
              </w:rPr>
            </w:pPr>
          </w:p>
        </w:tc>
        <w:tc>
          <w:tcPr>
            <w:tcW w:w="100" w:type="dxa"/>
            <w:vAlign w:val="bottom"/>
            <w:tcBorders>
              <w:bottom w:val="single" w:sz="8" w:color="CFF0FC"/>
            </w:tcBorders>
            <w:shd w:val="clear" w:color="auto" w:fill="CFF0FC"/>
          </w:tcPr>
          <w:p>
            <w:pPr>
              <w:spacing w:after="0"/>
              <w:rPr>
                <w:sz w:val="17"/>
                <w:szCs w:val="17"/>
                <w:color w:val="auto"/>
              </w:rPr>
            </w:pPr>
          </w:p>
        </w:tc>
        <w:tc>
          <w:tcPr>
            <w:tcW w:w="460" w:type="dxa"/>
            <w:vAlign w:val="bottom"/>
            <w:tcBorders>
              <w:bottom w:val="single" w:sz="8" w:color="auto"/>
            </w:tcBorders>
            <w:shd w:val="clear" w:color="auto" w:fill="CFF0FC"/>
          </w:tcPr>
          <w:p>
            <w:pPr>
              <w:spacing w:after="0"/>
              <w:rPr>
                <w:sz w:val="17"/>
                <w:szCs w:val="17"/>
                <w:color w:val="auto"/>
              </w:rPr>
            </w:pPr>
          </w:p>
        </w:tc>
        <w:tc>
          <w:tcPr>
            <w:tcW w:w="10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78</w:t>
            </w:r>
          </w:p>
        </w:tc>
        <w:tc>
          <w:tcPr>
            <w:tcW w:w="80" w:type="dxa"/>
            <w:vAlign w:val="bottom"/>
            <w:tcBorders>
              <w:bottom w:val="single" w:sz="8" w:color="CFF0FC"/>
            </w:tcBorders>
            <w:shd w:val="clear" w:color="auto" w:fill="CFF0FC"/>
          </w:tcPr>
          <w:p>
            <w:pPr>
              <w:spacing w:after="0"/>
              <w:rPr>
                <w:sz w:val="17"/>
                <w:szCs w:val="17"/>
                <w:color w:val="auto"/>
              </w:rPr>
            </w:pPr>
          </w:p>
        </w:tc>
        <w:tc>
          <w:tcPr>
            <w:tcW w:w="4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420" w:type="dxa"/>
            <w:vAlign w:val="bottom"/>
          </w:tcPr>
          <w:p>
            <w:pPr>
              <w:spacing w:after="0"/>
              <w:rPr>
                <w:sz w:val="17"/>
                <w:szCs w:val="17"/>
                <w:color w:val="auto"/>
              </w:rPr>
            </w:pPr>
          </w:p>
        </w:tc>
        <w:tc>
          <w:tcPr>
            <w:tcW w:w="704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Total liabilities</w:t>
            </w:r>
          </w:p>
        </w:tc>
        <w:tc>
          <w:tcPr>
            <w:tcW w:w="46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b w:val="1"/>
                <w:bCs w:val="1"/>
                <w:color w:val="auto"/>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14,257</w:t>
            </w:r>
          </w:p>
        </w:tc>
        <w:tc>
          <w:tcPr>
            <w:tcW w:w="140" w:type="dxa"/>
            <w:vAlign w:val="bottom"/>
          </w:tcPr>
          <w:p>
            <w:pPr>
              <w:spacing w:after="0"/>
              <w:rPr>
                <w:sz w:val="17"/>
                <w:szCs w:val="17"/>
                <w:color w:val="auto"/>
              </w:rPr>
            </w:pPr>
          </w:p>
        </w:tc>
        <w:tc>
          <w:tcPr>
            <w:tcW w:w="560" w:type="dxa"/>
            <w:vAlign w:val="bottom"/>
            <w:gridSpan w:val="2"/>
          </w:tcPr>
          <w:p>
            <w:pPr>
              <w:jc w:val="right"/>
              <w:ind w:right="380"/>
              <w:spacing w:after="0"/>
              <w:rPr>
                <w:sz w:val="20"/>
                <w:szCs w:val="20"/>
                <w:color w:val="auto"/>
              </w:rPr>
            </w:pPr>
            <w:r>
              <w:rPr>
                <w:rFonts w:ascii="Times New Roman" w:cs="Times New Roman" w:eastAsia="Times New Roman" w:hAnsi="Times New Roman"/>
                <w:sz w:val="16"/>
                <w:szCs w:val="16"/>
                <w:b w:val="1"/>
                <w:bCs w:val="1"/>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9,861</w:t>
            </w:r>
          </w:p>
        </w:tc>
        <w:tc>
          <w:tcPr>
            <w:tcW w:w="8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20" w:type="dxa"/>
            <w:vAlign w:val="bottom"/>
            <w:vMerge w:val="restart"/>
          </w:tcPr>
          <w:p>
            <w:pPr>
              <w:spacing w:after="0"/>
              <w:rPr>
                <w:sz w:val="17"/>
                <w:szCs w:val="17"/>
                <w:color w:val="auto"/>
              </w:rPr>
            </w:pPr>
          </w:p>
        </w:tc>
        <w:tc>
          <w:tcPr>
            <w:tcW w:w="704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300" w:type="dxa"/>
            <w:vAlign w:val="bottom"/>
            <w:shd w:val="clear" w:color="auto" w:fill="CFF0FC"/>
          </w:tcPr>
          <w:p>
            <w:pPr>
              <w:spacing w:after="0"/>
              <w:rPr>
                <w:sz w:val="17"/>
                <w:szCs w:val="17"/>
                <w:color w:val="auto"/>
              </w:rPr>
            </w:pPr>
          </w:p>
        </w:tc>
        <w:tc>
          <w:tcPr>
            <w:tcW w:w="114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460" w:type="dxa"/>
            <w:vAlign w:val="bottom"/>
            <w:shd w:val="clear" w:color="auto" w:fill="CFF0FC"/>
          </w:tcPr>
          <w:p>
            <w:pPr>
              <w:spacing w:after="0"/>
              <w:rPr>
                <w:sz w:val="17"/>
                <w:szCs w:val="17"/>
                <w:color w:val="auto"/>
              </w:rPr>
            </w:pPr>
          </w:p>
        </w:tc>
        <w:tc>
          <w:tcPr>
            <w:tcW w:w="100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4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20" w:type="dxa"/>
            <w:vAlign w:val="bottom"/>
            <w:vMerge w:val="continue"/>
          </w:tcPr>
          <w:p>
            <w:pPr>
              <w:spacing w:after="0"/>
              <w:rPr>
                <w:sz w:val="17"/>
                <w:szCs w:val="17"/>
                <w:color w:val="auto"/>
              </w:rPr>
            </w:pPr>
          </w:p>
        </w:tc>
        <w:tc>
          <w:tcPr>
            <w:tcW w:w="704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STOCKHOLDERS' EQUITY:</w:t>
            </w:r>
          </w:p>
        </w:tc>
        <w:tc>
          <w:tcPr>
            <w:tcW w:w="1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9"/>
        </w:trPr>
        <w:tc>
          <w:tcPr>
            <w:tcW w:w="420" w:type="dxa"/>
            <w:vAlign w:val="bottom"/>
          </w:tcPr>
          <w:p>
            <w:pPr>
              <w:spacing w:after="0"/>
              <w:rPr>
                <w:sz w:val="16"/>
                <w:szCs w:val="16"/>
                <w:color w:val="auto"/>
              </w:rPr>
            </w:pPr>
          </w:p>
        </w:tc>
        <w:tc>
          <w:tcPr>
            <w:tcW w:w="704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6"/>
                <w:szCs w:val="16"/>
                <w:color w:val="auto"/>
              </w:rPr>
              <w:t>Class A Common stock, $.0001 par value; 600,000,000 shares authorized; 82,166,458 and 58,076,261</w:t>
            </w:r>
          </w:p>
        </w:tc>
        <w:tc>
          <w:tcPr>
            <w:tcW w:w="160" w:type="dxa"/>
            <w:vAlign w:val="bottom"/>
            <w:shd w:val="clear" w:color="auto" w:fill="CFF0FC"/>
          </w:tcPr>
          <w:p>
            <w:pPr>
              <w:spacing w:after="0"/>
              <w:rPr>
                <w:sz w:val="16"/>
                <w:szCs w:val="16"/>
                <w:color w:val="auto"/>
              </w:rPr>
            </w:pPr>
          </w:p>
        </w:tc>
        <w:tc>
          <w:tcPr>
            <w:tcW w:w="300" w:type="dxa"/>
            <w:vAlign w:val="bottom"/>
            <w:shd w:val="clear" w:color="auto" w:fill="CFF0FC"/>
          </w:tcPr>
          <w:p>
            <w:pPr>
              <w:spacing w:after="0"/>
              <w:rPr>
                <w:sz w:val="16"/>
                <w:szCs w:val="16"/>
                <w:color w:val="auto"/>
              </w:rPr>
            </w:pPr>
          </w:p>
        </w:tc>
        <w:tc>
          <w:tcPr>
            <w:tcW w:w="1140" w:type="dxa"/>
            <w:vAlign w:val="bottom"/>
            <w:shd w:val="clear" w:color="auto" w:fill="CFF0FC"/>
          </w:tcPr>
          <w:p>
            <w:pPr>
              <w:spacing w:after="0"/>
              <w:rPr>
                <w:sz w:val="16"/>
                <w:szCs w:val="16"/>
                <w:color w:val="auto"/>
              </w:rPr>
            </w:pPr>
          </w:p>
        </w:tc>
        <w:tc>
          <w:tcPr>
            <w:tcW w:w="14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460" w:type="dxa"/>
            <w:vAlign w:val="bottom"/>
            <w:shd w:val="clear" w:color="auto" w:fill="CFF0FC"/>
          </w:tcPr>
          <w:p>
            <w:pPr>
              <w:spacing w:after="0"/>
              <w:rPr>
                <w:sz w:val="16"/>
                <w:szCs w:val="16"/>
                <w:color w:val="auto"/>
              </w:rPr>
            </w:pPr>
          </w:p>
        </w:tc>
        <w:tc>
          <w:tcPr>
            <w:tcW w:w="1000" w:type="dxa"/>
            <w:vAlign w:val="bottom"/>
            <w:shd w:val="clear" w:color="auto" w:fill="CFF0FC"/>
          </w:tcPr>
          <w:p>
            <w:pPr>
              <w:spacing w:after="0"/>
              <w:rPr>
                <w:sz w:val="16"/>
                <w:szCs w:val="16"/>
                <w:color w:val="auto"/>
              </w:rPr>
            </w:pPr>
          </w:p>
        </w:tc>
        <w:tc>
          <w:tcPr>
            <w:tcW w:w="80" w:type="dxa"/>
            <w:vAlign w:val="bottom"/>
            <w:shd w:val="clear" w:color="auto" w:fill="CFF0FC"/>
          </w:tcPr>
          <w:p>
            <w:pPr>
              <w:spacing w:after="0"/>
              <w:rPr>
                <w:sz w:val="16"/>
                <w:szCs w:val="16"/>
                <w:color w:val="auto"/>
              </w:rPr>
            </w:pPr>
          </w:p>
        </w:tc>
        <w:tc>
          <w:tcPr>
            <w:tcW w:w="4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420" w:type="dxa"/>
            <w:vAlign w:val="bottom"/>
          </w:tcPr>
          <w:p>
            <w:pPr>
              <w:spacing w:after="0"/>
              <w:rPr>
                <w:sz w:val="18"/>
                <w:szCs w:val="18"/>
                <w:color w:val="auto"/>
              </w:rPr>
            </w:pPr>
          </w:p>
        </w:tc>
        <w:tc>
          <w:tcPr>
            <w:tcW w:w="704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6"/>
                <w:szCs w:val="16"/>
                <w:color w:val="auto"/>
              </w:rPr>
              <w:t>shares issued and outstanding at December 31, 2025 and 2024, respectively</w:t>
            </w:r>
          </w:p>
        </w:tc>
        <w:tc>
          <w:tcPr>
            <w:tcW w:w="16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8</w:t>
            </w:r>
          </w:p>
        </w:tc>
        <w:tc>
          <w:tcPr>
            <w:tcW w:w="1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460" w:type="dxa"/>
            <w:vAlign w:val="bottom"/>
            <w:shd w:val="clear" w:color="auto" w:fill="CFF0FC"/>
          </w:tcPr>
          <w:p>
            <w:pPr>
              <w:spacing w:after="0"/>
              <w:rPr>
                <w:sz w:val="18"/>
                <w:szCs w:val="18"/>
                <w:color w:val="auto"/>
              </w:rPr>
            </w:pP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5</w:t>
            </w:r>
          </w:p>
        </w:tc>
        <w:tc>
          <w:tcPr>
            <w:tcW w:w="80" w:type="dxa"/>
            <w:vAlign w:val="bottom"/>
            <w:shd w:val="clear" w:color="auto" w:fill="CFF0FC"/>
          </w:tcPr>
          <w:p>
            <w:pPr>
              <w:spacing w:after="0"/>
              <w:rPr>
                <w:sz w:val="18"/>
                <w:szCs w:val="18"/>
                <w:color w:val="auto"/>
              </w:rPr>
            </w:pPr>
          </w:p>
        </w:tc>
        <w:tc>
          <w:tcPr>
            <w:tcW w:w="4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89"/>
        </w:trPr>
        <w:tc>
          <w:tcPr>
            <w:tcW w:w="420" w:type="dxa"/>
            <w:vAlign w:val="bottom"/>
          </w:tcPr>
          <w:p>
            <w:pPr>
              <w:spacing w:after="0"/>
              <w:rPr>
                <w:sz w:val="16"/>
                <w:szCs w:val="16"/>
                <w:color w:val="auto"/>
              </w:rPr>
            </w:pPr>
          </w:p>
        </w:tc>
        <w:tc>
          <w:tcPr>
            <w:tcW w:w="704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Class B Common stock, $.0001 par value; 27,000,000 shares authorized; 15,055,288 shares issued and</w:t>
            </w:r>
          </w:p>
        </w:tc>
        <w:tc>
          <w:tcPr>
            <w:tcW w:w="1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3"/>
        </w:trPr>
        <w:tc>
          <w:tcPr>
            <w:tcW w:w="420" w:type="dxa"/>
            <w:vAlign w:val="bottom"/>
          </w:tcPr>
          <w:p>
            <w:pPr>
              <w:spacing w:after="0"/>
              <w:rPr>
                <w:sz w:val="18"/>
                <w:szCs w:val="18"/>
                <w:color w:val="auto"/>
              </w:rPr>
            </w:pPr>
          </w:p>
        </w:tc>
        <w:tc>
          <w:tcPr>
            <w:tcW w:w="704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outstanding at December 31, 2025 and 2024</w:t>
            </w:r>
          </w:p>
        </w:tc>
        <w:tc>
          <w:tcPr>
            <w:tcW w:w="1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w:t>
            </w:r>
          </w:p>
        </w:tc>
        <w:tc>
          <w:tcPr>
            <w:tcW w:w="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5"/>
        </w:trPr>
        <w:tc>
          <w:tcPr>
            <w:tcW w:w="420" w:type="dxa"/>
            <w:vAlign w:val="bottom"/>
          </w:tcPr>
          <w:p>
            <w:pPr>
              <w:spacing w:after="0"/>
              <w:rPr>
                <w:sz w:val="17"/>
                <w:szCs w:val="17"/>
                <w:color w:val="auto"/>
              </w:rPr>
            </w:pPr>
          </w:p>
        </w:tc>
        <w:tc>
          <w:tcPr>
            <w:tcW w:w="704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6"/>
                <w:szCs w:val="16"/>
                <w:color w:val="auto"/>
              </w:rPr>
              <w:t>Additional paid-in capital</w:t>
            </w:r>
          </w:p>
        </w:tc>
        <w:tc>
          <w:tcPr>
            <w:tcW w:w="160" w:type="dxa"/>
            <w:vAlign w:val="bottom"/>
            <w:shd w:val="clear" w:color="auto" w:fill="CFF0FC"/>
          </w:tcPr>
          <w:p>
            <w:pPr>
              <w:spacing w:after="0"/>
              <w:rPr>
                <w:sz w:val="17"/>
                <w:szCs w:val="17"/>
                <w:color w:val="auto"/>
              </w:rPr>
            </w:pPr>
          </w:p>
        </w:tc>
        <w:tc>
          <w:tcPr>
            <w:tcW w:w="300" w:type="dxa"/>
            <w:vAlign w:val="bottom"/>
            <w:shd w:val="clear" w:color="auto" w:fill="CFF0FC"/>
          </w:tcPr>
          <w:p>
            <w:pPr>
              <w:spacing w:after="0"/>
              <w:rPr>
                <w:sz w:val="17"/>
                <w:szCs w:val="17"/>
                <w:color w:val="auto"/>
              </w:rPr>
            </w:pP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371,011</w:t>
            </w:r>
          </w:p>
        </w:tc>
        <w:tc>
          <w:tcPr>
            <w:tcW w:w="14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460" w:type="dxa"/>
            <w:vAlign w:val="bottom"/>
            <w:shd w:val="clear" w:color="auto" w:fill="CFF0FC"/>
          </w:tcPr>
          <w:p>
            <w:pPr>
              <w:spacing w:after="0"/>
              <w:rPr>
                <w:sz w:val="17"/>
                <w:szCs w:val="17"/>
                <w:color w:val="auto"/>
              </w:rPr>
            </w:pP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343,475</w:t>
            </w:r>
          </w:p>
        </w:tc>
        <w:tc>
          <w:tcPr>
            <w:tcW w:w="80" w:type="dxa"/>
            <w:vAlign w:val="bottom"/>
            <w:shd w:val="clear" w:color="auto" w:fill="CFF0FC"/>
          </w:tcPr>
          <w:p>
            <w:pPr>
              <w:spacing w:after="0"/>
              <w:rPr>
                <w:sz w:val="17"/>
                <w:szCs w:val="17"/>
                <w:color w:val="auto"/>
              </w:rPr>
            </w:pPr>
          </w:p>
        </w:tc>
        <w:tc>
          <w:tcPr>
            <w:tcW w:w="4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20" w:type="dxa"/>
            <w:vAlign w:val="bottom"/>
          </w:tcPr>
          <w:p>
            <w:pPr>
              <w:spacing w:after="0"/>
              <w:rPr>
                <w:sz w:val="17"/>
                <w:szCs w:val="17"/>
                <w:color w:val="auto"/>
              </w:rPr>
            </w:pPr>
          </w:p>
        </w:tc>
        <w:tc>
          <w:tcPr>
            <w:tcW w:w="704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Accumulated deficit</w:t>
            </w:r>
          </w:p>
        </w:tc>
        <w:tc>
          <w:tcPr>
            <w:tcW w:w="1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28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(330,016)</w:t>
            </w:r>
          </w:p>
        </w:tc>
        <w:tc>
          <w:tcPr>
            <w:tcW w:w="1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08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(294,442)</w:t>
            </w:r>
          </w:p>
        </w:tc>
        <w:tc>
          <w:tcPr>
            <w:tcW w:w="4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420" w:type="dxa"/>
            <w:vAlign w:val="bottom"/>
            <w:vMerge w:val="restart"/>
          </w:tcPr>
          <w:p>
            <w:pPr>
              <w:spacing w:after="0" w:line="20" w:lineRule="exact"/>
              <w:rPr>
                <w:sz w:val="1"/>
                <w:szCs w:val="1"/>
                <w:color w:val="auto"/>
              </w:rPr>
            </w:pPr>
          </w:p>
        </w:tc>
        <w:tc>
          <w:tcPr>
            <w:tcW w:w="70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420" w:type="dxa"/>
            <w:vAlign w:val="bottom"/>
            <w:vMerge w:val="continue"/>
          </w:tcPr>
          <w:p>
            <w:pPr>
              <w:spacing w:after="0"/>
              <w:rPr>
                <w:sz w:val="17"/>
                <w:szCs w:val="17"/>
                <w:color w:val="auto"/>
              </w:rPr>
            </w:pPr>
          </w:p>
        </w:tc>
        <w:tc>
          <w:tcPr>
            <w:tcW w:w="704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b w:val="1"/>
                <w:bCs w:val="1"/>
                <w:color w:val="auto"/>
              </w:rPr>
              <w:t>Total stockholders' equity</w:t>
            </w:r>
          </w:p>
        </w:tc>
        <w:tc>
          <w:tcPr>
            <w:tcW w:w="46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6"/>
                <w:szCs w:val="16"/>
                <w:b w:val="1"/>
                <w:bCs w:val="1"/>
                <w:color w:val="auto"/>
              </w:rPr>
              <w:t>$</w:t>
            </w: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b w:val="1"/>
                <w:bCs w:val="1"/>
                <w:color w:val="auto"/>
              </w:rPr>
              <w:t>41,005</w:t>
            </w:r>
          </w:p>
        </w:tc>
        <w:tc>
          <w:tcPr>
            <w:tcW w:w="140" w:type="dxa"/>
            <w:vAlign w:val="bottom"/>
            <w:shd w:val="clear" w:color="auto" w:fill="CFF0FC"/>
          </w:tcPr>
          <w:p>
            <w:pPr>
              <w:spacing w:after="0"/>
              <w:rPr>
                <w:sz w:val="17"/>
                <w:szCs w:val="17"/>
                <w:color w:val="auto"/>
              </w:rPr>
            </w:pPr>
          </w:p>
        </w:tc>
        <w:tc>
          <w:tcPr>
            <w:tcW w:w="560" w:type="dxa"/>
            <w:vAlign w:val="bottom"/>
            <w:gridSpan w:val="2"/>
            <w:shd w:val="clear" w:color="auto" w:fill="CFF0FC"/>
          </w:tcPr>
          <w:p>
            <w:pPr>
              <w:jc w:val="right"/>
              <w:ind w:right="380"/>
              <w:spacing w:after="0"/>
              <w:rPr>
                <w:sz w:val="20"/>
                <w:szCs w:val="20"/>
                <w:color w:val="auto"/>
              </w:rPr>
            </w:pPr>
            <w:r>
              <w:rPr>
                <w:rFonts w:ascii="Times New Roman" w:cs="Times New Roman" w:eastAsia="Times New Roman" w:hAnsi="Times New Roman"/>
                <w:sz w:val="16"/>
                <w:szCs w:val="16"/>
                <w:b w:val="1"/>
                <w:bCs w:val="1"/>
                <w:color w:val="auto"/>
              </w:rPr>
              <w:t>$</w:t>
            </w: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b w:val="1"/>
                <w:bCs w:val="1"/>
                <w:color w:val="auto"/>
              </w:rPr>
              <w:t>49,040</w:t>
            </w:r>
          </w:p>
        </w:tc>
        <w:tc>
          <w:tcPr>
            <w:tcW w:w="80" w:type="dxa"/>
            <w:vAlign w:val="bottom"/>
            <w:shd w:val="clear" w:color="auto" w:fill="CFF0FC"/>
          </w:tcPr>
          <w:p>
            <w:pPr>
              <w:spacing w:after="0"/>
              <w:rPr>
                <w:sz w:val="17"/>
                <w:szCs w:val="17"/>
                <w:color w:val="auto"/>
              </w:rPr>
            </w:pPr>
          </w:p>
        </w:tc>
        <w:tc>
          <w:tcPr>
            <w:tcW w:w="4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420" w:type="dxa"/>
            <w:vAlign w:val="bottom"/>
            <w:vMerge w:val="restart"/>
          </w:tcPr>
          <w:p>
            <w:pPr>
              <w:spacing w:after="0" w:line="20" w:lineRule="exact"/>
              <w:rPr>
                <w:sz w:val="1"/>
                <w:szCs w:val="1"/>
                <w:color w:val="auto"/>
              </w:rPr>
            </w:pPr>
          </w:p>
        </w:tc>
        <w:tc>
          <w:tcPr>
            <w:tcW w:w="7040" w:type="dxa"/>
            <w:vAlign w:val="bottom"/>
            <w:shd w:val="clear" w:color="auto" w:fill="CFF0FC"/>
          </w:tcPr>
          <w:p>
            <w:pPr>
              <w:spacing w:after="0" w:line="20" w:lineRule="exact"/>
              <w:rPr>
                <w:sz w:val="1"/>
                <w:szCs w:val="1"/>
                <w:color w:val="auto"/>
              </w:rPr>
            </w:pPr>
          </w:p>
        </w:tc>
        <w:tc>
          <w:tcPr>
            <w:tcW w:w="160" w:type="dxa"/>
            <w:vAlign w:val="bottom"/>
            <w:shd w:val="clear" w:color="auto" w:fill="CFF0FC"/>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140" w:type="dxa"/>
            <w:vAlign w:val="bottom"/>
            <w:shd w:val="clear" w:color="auto" w:fill="CFF0FC"/>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80" w:type="dxa"/>
            <w:vAlign w:val="bottom"/>
            <w:shd w:val="clear" w:color="auto" w:fill="CFF0FC"/>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420" w:type="dxa"/>
            <w:vAlign w:val="bottom"/>
            <w:vMerge w:val="continue"/>
          </w:tcPr>
          <w:p>
            <w:pPr>
              <w:spacing w:after="0"/>
              <w:rPr>
                <w:sz w:val="17"/>
                <w:szCs w:val="17"/>
                <w:color w:val="auto"/>
              </w:rPr>
            </w:pPr>
          </w:p>
        </w:tc>
        <w:tc>
          <w:tcPr>
            <w:tcW w:w="704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TOTAL LIABILITIES AND STOCKHOLDERS' EQUITY</w:t>
            </w:r>
          </w:p>
        </w:tc>
        <w:tc>
          <w:tcPr>
            <w:tcW w:w="46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b w:val="1"/>
                <w:bCs w:val="1"/>
                <w:color w:val="auto"/>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55,262</w:t>
            </w:r>
          </w:p>
        </w:tc>
        <w:tc>
          <w:tcPr>
            <w:tcW w:w="140" w:type="dxa"/>
            <w:vAlign w:val="bottom"/>
          </w:tcPr>
          <w:p>
            <w:pPr>
              <w:spacing w:after="0"/>
              <w:rPr>
                <w:sz w:val="17"/>
                <w:szCs w:val="17"/>
                <w:color w:val="auto"/>
              </w:rPr>
            </w:pPr>
          </w:p>
        </w:tc>
        <w:tc>
          <w:tcPr>
            <w:tcW w:w="560" w:type="dxa"/>
            <w:vAlign w:val="bottom"/>
            <w:gridSpan w:val="2"/>
          </w:tcPr>
          <w:p>
            <w:pPr>
              <w:jc w:val="right"/>
              <w:ind w:right="380"/>
              <w:spacing w:after="0"/>
              <w:rPr>
                <w:sz w:val="20"/>
                <w:szCs w:val="20"/>
                <w:color w:val="auto"/>
              </w:rPr>
            </w:pPr>
            <w:r>
              <w:rPr>
                <w:rFonts w:ascii="Times New Roman" w:cs="Times New Roman" w:eastAsia="Times New Roman" w:hAnsi="Times New Roman"/>
                <w:sz w:val="16"/>
                <w:szCs w:val="16"/>
                <w:b w:val="1"/>
                <w:bCs w:val="1"/>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58,901</w:t>
            </w:r>
          </w:p>
        </w:tc>
        <w:tc>
          <w:tcPr>
            <w:tcW w:w="8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420" w:type="dxa"/>
            <w:vAlign w:val="bottom"/>
          </w:tcPr>
          <w:p>
            <w:pPr>
              <w:spacing w:after="0" w:line="20" w:lineRule="exact"/>
              <w:rPr>
                <w:sz w:val="1"/>
                <w:szCs w:val="1"/>
                <w:color w:val="auto"/>
              </w:rPr>
            </w:pPr>
          </w:p>
        </w:tc>
        <w:tc>
          <w:tcPr>
            <w:tcW w:w="70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960"/>
        </w:trPr>
        <w:tc>
          <w:tcPr>
            <w:tcW w:w="420" w:type="dxa"/>
            <w:vAlign w:val="bottom"/>
            <w:tcBorders>
              <w:bottom w:val="single" w:sz="8" w:color="9A9A9A"/>
            </w:tcBorders>
          </w:tcPr>
          <w:p>
            <w:pPr>
              <w:spacing w:after="0"/>
              <w:rPr>
                <w:sz w:val="24"/>
                <w:szCs w:val="24"/>
                <w:color w:val="auto"/>
              </w:rPr>
            </w:pPr>
          </w:p>
        </w:tc>
        <w:tc>
          <w:tcPr>
            <w:tcW w:w="7040" w:type="dxa"/>
            <w:vAlign w:val="bottom"/>
            <w:tcBorders>
              <w:bottom w:val="single" w:sz="8" w:color="9A9A9A"/>
            </w:tcBorders>
          </w:tcPr>
          <w:p>
            <w:pPr>
              <w:spacing w:after="0"/>
              <w:rPr>
                <w:sz w:val="24"/>
                <w:szCs w:val="24"/>
                <w:color w:val="auto"/>
              </w:rPr>
            </w:pPr>
          </w:p>
        </w:tc>
        <w:tc>
          <w:tcPr>
            <w:tcW w:w="160" w:type="dxa"/>
            <w:vAlign w:val="bottom"/>
            <w:tcBorders>
              <w:bottom w:val="single" w:sz="8" w:color="9A9A9A"/>
            </w:tcBorders>
          </w:tcPr>
          <w:p>
            <w:pPr>
              <w:spacing w:after="0"/>
              <w:rPr>
                <w:sz w:val="24"/>
                <w:szCs w:val="24"/>
                <w:color w:val="auto"/>
              </w:rPr>
            </w:pPr>
          </w:p>
        </w:tc>
        <w:tc>
          <w:tcPr>
            <w:tcW w:w="300" w:type="dxa"/>
            <w:vAlign w:val="bottom"/>
            <w:tcBorders>
              <w:bottom w:val="single" w:sz="8" w:color="9A9A9A"/>
            </w:tcBorders>
          </w:tcPr>
          <w:p>
            <w:pPr>
              <w:spacing w:after="0"/>
              <w:rPr>
                <w:sz w:val="24"/>
                <w:szCs w:val="24"/>
                <w:color w:val="auto"/>
              </w:rPr>
            </w:pPr>
          </w:p>
        </w:tc>
        <w:tc>
          <w:tcPr>
            <w:tcW w:w="114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460" w:type="dxa"/>
            <w:vAlign w:val="bottom"/>
            <w:tcBorders>
              <w:bottom w:val="single" w:sz="8" w:color="9A9A9A"/>
            </w:tcBorders>
          </w:tcPr>
          <w:p>
            <w:pPr>
              <w:spacing w:after="0"/>
              <w:rPr>
                <w:sz w:val="24"/>
                <w:szCs w:val="24"/>
                <w:color w:val="auto"/>
              </w:rPr>
            </w:pPr>
          </w:p>
        </w:tc>
        <w:tc>
          <w:tcPr>
            <w:tcW w:w="100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40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500380</wp:posOffset>
            </wp:positionV>
            <wp:extent cx="2305685" cy="36893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clrChange>
                        <a:clrFrom>
                          <a:srgbClr val="FFFFFF"/>
                        </a:clrFrom>
                        <a:clrTo>
                          <a:srgbClr val="FFFFFF">
                            <a:alpha val="0"/>
                          </a:srgbClr>
                        </a:clrTo>
                      </a:clrChange>
                      <a:extLst>
                        <a:ext uri="{28A0092B-C50C-407E-A947-70E740481C1C}"/>
                      </a:extLst>
                    </a:blip>
                    <a:srcRect/>
                    <a:stretch>
                      <a:fillRect/>
                    </a:stretch>
                  </pic:blipFill>
                  <pic:spPr bwMode="auto">
                    <a:xfrm>
                      <a:off x="0" y="0"/>
                      <a:ext cx="2305685" cy="368935"/>
                    </a:xfrm>
                    <a:prstGeom prst="rect">
                      <a:avLst/>
                    </a:prstGeom>
                    <a:noFill/>
                  </pic:spPr>
                </pic:pic>
              </a:graphicData>
            </a:graphic>
          </wp:anchor>
        </w:drawing>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5748655</wp:posOffset>
            </wp:positionH>
            <wp:positionV relativeFrom="paragraph">
              <wp:posOffset>-3685540</wp:posOffset>
            </wp:positionV>
            <wp:extent cx="60325" cy="825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6828790</wp:posOffset>
            </wp:positionH>
            <wp:positionV relativeFrom="paragraph">
              <wp:posOffset>-3685540</wp:posOffset>
            </wp:positionV>
            <wp:extent cx="59690" cy="825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59690" cy="8255"/>
                    </a:xfrm>
                    <a:prstGeom prst="rect">
                      <a:avLst/>
                    </a:prstGeom>
                    <a:noFill/>
                  </pic:spPr>
                </pic:pic>
              </a:graphicData>
            </a:graphic>
          </wp:anchor>
        </w:drawing>
        <w:drawing>
          <wp:anchor simplePos="0" relativeHeight="251657728" behindDoc="1" locked="0" layoutInCell="0" allowOverlap="1">
            <wp:simplePos x="0" y="0"/>
            <wp:positionH relativeFrom="column">
              <wp:posOffset>5748655</wp:posOffset>
            </wp:positionH>
            <wp:positionV relativeFrom="paragraph">
              <wp:posOffset>-2622550</wp:posOffset>
            </wp:positionV>
            <wp:extent cx="60325" cy="825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6828790</wp:posOffset>
            </wp:positionH>
            <wp:positionV relativeFrom="paragraph">
              <wp:posOffset>-2622550</wp:posOffset>
            </wp:positionV>
            <wp:extent cx="59690" cy="825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59690" cy="8255"/>
                    </a:xfrm>
                    <a:prstGeom prst="rect">
                      <a:avLst/>
                    </a:prstGeom>
                    <a:noFill/>
                  </pic:spPr>
                </pic:pic>
              </a:graphicData>
            </a:graphic>
          </wp:anchor>
        </w:drawing>
        <w:drawing>
          <wp:anchor simplePos="0" relativeHeight="251657728" behindDoc="1" locked="0" layoutInCell="0" allowOverlap="1">
            <wp:simplePos x="0" y="0"/>
            <wp:positionH relativeFrom="column">
              <wp:posOffset>5748655</wp:posOffset>
            </wp:positionH>
            <wp:positionV relativeFrom="paragraph">
              <wp:posOffset>-2099945</wp:posOffset>
            </wp:positionV>
            <wp:extent cx="60325" cy="88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6828790</wp:posOffset>
            </wp:positionH>
            <wp:positionV relativeFrom="paragraph">
              <wp:posOffset>-2099945</wp:posOffset>
            </wp:positionV>
            <wp:extent cx="59690" cy="889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59690" cy="8890"/>
                    </a:xfrm>
                    <a:prstGeom prst="rect">
                      <a:avLst/>
                    </a:prstGeom>
                    <a:noFill/>
                  </pic:spPr>
                </pic:pic>
              </a:graphicData>
            </a:graphic>
          </wp:anchor>
        </w:drawing>
        <w:drawing>
          <wp:anchor simplePos="0" relativeHeight="251657728" behindDoc="1" locked="0" layoutInCell="0" allowOverlap="1">
            <wp:simplePos x="0" y="0"/>
            <wp:positionH relativeFrom="column">
              <wp:posOffset>5748655</wp:posOffset>
            </wp:positionH>
            <wp:positionV relativeFrom="paragraph">
              <wp:posOffset>-796290</wp:posOffset>
            </wp:positionV>
            <wp:extent cx="60325" cy="825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6828790</wp:posOffset>
            </wp:positionH>
            <wp:positionV relativeFrom="paragraph">
              <wp:posOffset>-796290</wp:posOffset>
            </wp:positionV>
            <wp:extent cx="59690" cy="825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59690" cy="8255"/>
                    </a:xfrm>
                    <a:prstGeom prst="rect">
                      <a:avLst/>
                    </a:prstGeom>
                    <a:noFill/>
                  </pic:spPr>
                </pic:pic>
              </a:graphicData>
            </a:graphic>
          </wp:anchor>
        </w:drawing>
      </w:r>
    </w:p>
    <w:p>
      <w:pPr>
        <w:sectPr>
          <w:pgSz w:w="11900" w:h="16838" w:orient="portrait"/>
          <w:cols w:equalWidth="0" w:num="1">
            <w:col w:w="11240"/>
          </w:cols>
          <w:pgMar w:left="320" w:top="1352" w:right="339" w:bottom="1440" w:gutter="0" w:footer="0" w:header="0"/>
        </w:sectPr>
      </w:pPr>
    </w:p>
    <w:bookmarkStart w:id="7" w:name="page8"/>
    <w:bookmarkEnd w:id="7"/>
    <w:tbl>
      <w:tblPr>
        <w:tblLayout w:type="fixed"/>
        <w:tblInd w:w="0" w:type="dxa"/>
        <w:tblCellMar>
          <w:top w:w="0" w:type="dxa"/>
          <w:left w:w="0" w:type="dxa"/>
          <w:bottom w:w="0" w:type="dxa"/>
          <w:right w:w="0" w:type="dxa"/>
        </w:tblCellMar>
      </w:tblPr>
      <w:tr>
        <w:trPr>
          <w:trHeight w:val="203"/>
        </w:trPr>
        <w:tc>
          <w:tcPr>
            <w:tcW w:w="420" w:type="dxa"/>
            <w:vAlign w:val="bottom"/>
          </w:tcPr>
          <w:p>
            <w:pPr>
              <w:spacing w:after="0"/>
              <w:rPr>
                <w:sz w:val="17"/>
                <w:szCs w:val="17"/>
                <w:color w:val="auto"/>
              </w:rPr>
            </w:pPr>
          </w:p>
        </w:tc>
        <w:tc>
          <w:tcPr>
            <w:tcW w:w="3180" w:type="dxa"/>
            <w:vAlign w:val="bottom"/>
          </w:tcPr>
          <w:p>
            <w:pPr>
              <w:spacing w:after="0"/>
              <w:rPr>
                <w:sz w:val="17"/>
                <w:szCs w:val="17"/>
                <w:color w:val="auto"/>
              </w:rPr>
            </w:pPr>
          </w:p>
        </w:tc>
        <w:tc>
          <w:tcPr>
            <w:tcW w:w="3740" w:type="dxa"/>
            <w:vAlign w:val="bottom"/>
            <w:gridSpan w:val="6"/>
          </w:tcPr>
          <w:p>
            <w:pPr>
              <w:jc w:val="center"/>
              <w:ind w:left="179"/>
              <w:spacing w:after="0"/>
              <w:rPr>
                <w:sz w:val="20"/>
                <w:szCs w:val="20"/>
                <w:color w:val="auto"/>
              </w:rPr>
            </w:pPr>
            <w:r>
              <w:rPr>
                <w:rFonts w:ascii="Times New Roman" w:cs="Times New Roman" w:eastAsia="Times New Roman" w:hAnsi="Times New Roman"/>
                <w:sz w:val="16"/>
                <w:szCs w:val="16"/>
                <w:b w:val="1"/>
                <w:bCs w:val="1"/>
                <w:color w:val="auto"/>
              </w:rPr>
              <w:t>HYPERFINE, INC. AND SUBSIDIARIES</w:t>
            </w:r>
          </w:p>
        </w:tc>
        <w:tc>
          <w:tcPr>
            <w:tcW w:w="8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20" w:type="dxa"/>
            <w:vAlign w:val="bottom"/>
          </w:tcPr>
          <w:p>
            <w:pPr>
              <w:spacing w:after="0"/>
              <w:rPr>
                <w:sz w:val="17"/>
                <w:szCs w:val="17"/>
                <w:color w:val="auto"/>
              </w:rPr>
            </w:pPr>
          </w:p>
        </w:tc>
        <w:tc>
          <w:tcPr>
            <w:tcW w:w="9100" w:type="dxa"/>
            <w:vAlign w:val="bottom"/>
            <w:gridSpan w:val="13"/>
          </w:tcPr>
          <w:p>
            <w:pPr>
              <w:jc w:val="center"/>
              <w:ind w:left="1219"/>
              <w:spacing w:after="0"/>
              <w:rPr>
                <w:sz w:val="20"/>
                <w:szCs w:val="20"/>
                <w:color w:val="auto"/>
              </w:rPr>
            </w:pPr>
            <w:r>
              <w:rPr>
                <w:rFonts w:ascii="Times New Roman" w:cs="Times New Roman" w:eastAsia="Times New Roman" w:hAnsi="Times New Roman"/>
                <w:sz w:val="16"/>
                <w:szCs w:val="16"/>
                <w:b w:val="1"/>
                <w:bCs w:val="1"/>
                <w:color w:val="auto"/>
              </w:rPr>
              <w:t>CONSOLIDATED STATEMENT OF OPERATIONS AND COMPREHENSIVE LOSS</w:t>
            </w:r>
          </w:p>
        </w:tc>
        <w:tc>
          <w:tcPr>
            <w:tcW w:w="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4"/>
        </w:trPr>
        <w:tc>
          <w:tcPr>
            <w:tcW w:w="420" w:type="dxa"/>
            <w:vAlign w:val="bottom"/>
          </w:tcPr>
          <w:p>
            <w:pPr>
              <w:spacing w:after="0"/>
              <w:rPr>
                <w:sz w:val="17"/>
                <w:szCs w:val="17"/>
                <w:color w:val="auto"/>
              </w:rPr>
            </w:pPr>
          </w:p>
        </w:tc>
        <w:tc>
          <w:tcPr>
            <w:tcW w:w="3180" w:type="dxa"/>
            <w:vAlign w:val="bottom"/>
          </w:tcPr>
          <w:p>
            <w:pPr>
              <w:spacing w:after="0"/>
              <w:rPr>
                <w:sz w:val="17"/>
                <w:szCs w:val="17"/>
                <w:color w:val="auto"/>
              </w:rPr>
            </w:pPr>
          </w:p>
        </w:tc>
        <w:tc>
          <w:tcPr>
            <w:tcW w:w="3740" w:type="dxa"/>
            <w:vAlign w:val="bottom"/>
            <w:gridSpan w:val="6"/>
          </w:tcPr>
          <w:p>
            <w:pPr>
              <w:jc w:val="center"/>
              <w:ind w:left="219"/>
              <w:spacing w:after="0"/>
              <w:rPr>
                <w:sz w:val="20"/>
                <w:szCs w:val="20"/>
                <w:color w:val="auto"/>
              </w:rPr>
            </w:pPr>
            <w:r>
              <w:rPr>
                <w:rFonts w:ascii="Times New Roman" w:cs="Times New Roman" w:eastAsia="Times New Roman" w:hAnsi="Times New Roman"/>
                <w:sz w:val="16"/>
                <w:szCs w:val="16"/>
                <w:i w:val="1"/>
                <w:iCs w:val="1"/>
                <w:color w:val="auto"/>
              </w:rPr>
              <w:t>(in thousands, except share and per share amounts)</w:t>
            </w:r>
          </w:p>
        </w:tc>
        <w:tc>
          <w:tcPr>
            <w:tcW w:w="8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1"/>
        </w:trPr>
        <w:tc>
          <w:tcPr>
            <w:tcW w:w="420" w:type="dxa"/>
            <w:vAlign w:val="bottom"/>
          </w:tcPr>
          <w:p>
            <w:pPr>
              <w:spacing w:after="0"/>
              <w:rPr>
                <w:sz w:val="17"/>
                <w:szCs w:val="17"/>
                <w:color w:val="auto"/>
              </w:rPr>
            </w:pPr>
          </w:p>
        </w:tc>
        <w:tc>
          <w:tcPr>
            <w:tcW w:w="3180" w:type="dxa"/>
            <w:vAlign w:val="bottom"/>
          </w:tcPr>
          <w:p>
            <w:pPr>
              <w:spacing w:after="0"/>
              <w:rPr>
                <w:sz w:val="17"/>
                <w:szCs w:val="17"/>
                <w:color w:val="auto"/>
              </w:rPr>
            </w:pPr>
          </w:p>
        </w:tc>
        <w:tc>
          <w:tcPr>
            <w:tcW w:w="3240" w:type="dxa"/>
            <w:vAlign w:val="bottom"/>
            <w:gridSpan w:val="4"/>
          </w:tcPr>
          <w:p>
            <w:pPr>
              <w:jc w:val="center"/>
              <w:ind w:left="739"/>
              <w:spacing w:after="0"/>
              <w:rPr>
                <w:sz w:val="20"/>
                <w:szCs w:val="20"/>
                <w:color w:val="auto"/>
              </w:rPr>
            </w:pPr>
            <w:r>
              <w:rPr>
                <w:rFonts w:ascii="Times New Roman" w:cs="Times New Roman" w:eastAsia="Times New Roman" w:hAnsi="Times New Roman"/>
                <w:sz w:val="16"/>
                <w:szCs w:val="16"/>
                <w:color w:val="auto"/>
              </w:rPr>
              <w:t>(Unaudited)</w:t>
            </w:r>
          </w:p>
        </w:tc>
        <w:tc>
          <w:tcPr>
            <w:tcW w:w="1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20" w:type="dxa"/>
            <w:vAlign w:val="bottom"/>
          </w:tcPr>
          <w:p>
            <w:pPr>
              <w:spacing w:after="0"/>
              <w:rPr>
                <w:sz w:val="17"/>
                <w:szCs w:val="17"/>
                <w:color w:val="auto"/>
              </w:rPr>
            </w:pPr>
          </w:p>
        </w:tc>
        <w:tc>
          <w:tcPr>
            <w:tcW w:w="3180" w:type="dxa"/>
            <w:vAlign w:val="bottom"/>
          </w:tcPr>
          <w:p>
            <w:pPr>
              <w:spacing w:after="0"/>
              <w:rPr>
                <w:sz w:val="17"/>
                <w:szCs w:val="17"/>
                <w:color w:val="auto"/>
              </w:rPr>
            </w:pPr>
          </w:p>
        </w:tc>
        <w:tc>
          <w:tcPr>
            <w:tcW w:w="17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640" w:type="dxa"/>
            <w:vAlign w:val="bottom"/>
            <w:gridSpan w:val="6"/>
          </w:tcPr>
          <w:p>
            <w:pPr>
              <w:jc w:val="right"/>
              <w:ind w:right="840"/>
              <w:spacing w:after="0"/>
              <w:rPr>
                <w:sz w:val="20"/>
                <w:szCs w:val="20"/>
                <w:color w:val="auto"/>
              </w:rPr>
            </w:pPr>
            <w:r>
              <w:rPr>
                <w:rFonts w:ascii="Times New Roman" w:cs="Times New Roman" w:eastAsia="Times New Roman" w:hAnsi="Times New Roman"/>
                <w:sz w:val="16"/>
                <w:szCs w:val="16"/>
                <w:b w:val="1"/>
                <w:bCs w:val="1"/>
                <w:color w:val="auto"/>
              </w:rPr>
              <w:t>Three Months Ended</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680" w:type="dxa"/>
            <w:vAlign w:val="bottom"/>
            <w:gridSpan w:val="7"/>
          </w:tcPr>
          <w:p>
            <w:pPr>
              <w:jc w:val="center"/>
              <w:ind w:right="720"/>
              <w:spacing w:after="0"/>
              <w:rPr>
                <w:sz w:val="20"/>
                <w:szCs w:val="20"/>
                <w:color w:val="auto"/>
              </w:rPr>
            </w:pPr>
            <w:r>
              <w:rPr>
                <w:rFonts w:ascii="Times New Roman" w:cs="Times New Roman" w:eastAsia="Times New Roman" w:hAnsi="Times New Roman"/>
                <w:sz w:val="16"/>
                <w:szCs w:val="16"/>
                <w:b w:val="1"/>
                <w:bCs w:val="1"/>
                <w:color w:val="auto"/>
              </w:rPr>
              <w:t>Twelve Months Ended</w:t>
            </w:r>
          </w:p>
        </w:tc>
        <w:tc>
          <w:tcPr>
            <w:tcW w:w="0" w:type="dxa"/>
            <w:vAlign w:val="bottom"/>
          </w:tcPr>
          <w:p>
            <w:pPr>
              <w:spacing w:after="0"/>
              <w:rPr>
                <w:sz w:val="1"/>
                <w:szCs w:val="1"/>
                <w:color w:val="auto"/>
              </w:rPr>
            </w:pPr>
          </w:p>
        </w:tc>
      </w:tr>
      <w:tr>
        <w:trPr>
          <w:trHeight w:val="212"/>
        </w:trPr>
        <w:tc>
          <w:tcPr>
            <w:tcW w:w="420" w:type="dxa"/>
            <w:vAlign w:val="bottom"/>
          </w:tcPr>
          <w:p>
            <w:pPr>
              <w:spacing w:after="0"/>
              <w:rPr>
                <w:sz w:val="18"/>
                <w:szCs w:val="18"/>
                <w:color w:val="auto"/>
              </w:rPr>
            </w:pPr>
          </w:p>
        </w:tc>
        <w:tc>
          <w:tcPr>
            <w:tcW w:w="3180" w:type="dxa"/>
            <w:vAlign w:val="bottom"/>
          </w:tcPr>
          <w:p>
            <w:pPr>
              <w:spacing w:after="0"/>
              <w:rPr>
                <w:sz w:val="18"/>
                <w:szCs w:val="18"/>
                <w:color w:val="auto"/>
              </w:rPr>
            </w:pPr>
          </w:p>
        </w:tc>
        <w:tc>
          <w:tcPr>
            <w:tcW w:w="17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680" w:type="dxa"/>
            <w:vAlign w:val="bottom"/>
            <w:gridSpan w:val="4"/>
          </w:tcPr>
          <w:p>
            <w:pPr>
              <w:jc w:val="right"/>
              <w:ind w:right="120"/>
              <w:spacing w:after="0"/>
              <w:rPr>
                <w:sz w:val="20"/>
                <w:szCs w:val="20"/>
                <w:color w:val="auto"/>
              </w:rPr>
            </w:pPr>
            <w:r>
              <w:rPr>
                <w:rFonts w:ascii="Times New Roman" w:cs="Times New Roman" w:eastAsia="Times New Roman" w:hAnsi="Times New Roman"/>
                <w:sz w:val="16"/>
                <w:szCs w:val="16"/>
                <w:b w:val="1"/>
                <w:bCs w:val="1"/>
                <w:color w:val="auto"/>
              </w:rPr>
              <w:t>December 31,</w:t>
            </w:r>
          </w:p>
        </w:tc>
        <w:tc>
          <w:tcPr>
            <w:tcW w:w="8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680" w:type="dxa"/>
            <w:vAlign w:val="bottom"/>
            <w:gridSpan w:val="7"/>
          </w:tcPr>
          <w:p>
            <w:pPr>
              <w:jc w:val="center"/>
              <w:ind w:right="680"/>
              <w:spacing w:after="0"/>
              <w:rPr>
                <w:sz w:val="20"/>
                <w:szCs w:val="20"/>
                <w:color w:val="auto"/>
              </w:rPr>
            </w:pPr>
            <w:r>
              <w:rPr>
                <w:rFonts w:ascii="Times New Roman" w:cs="Times New Roman" w:eastAsia="Times New Roman" w:hAnsi="Times New Roman"/>
                <w:sz w:val="16"/>
                <w:szCs w:val="16"/>
                <w:b w:val="1"/>
                <w:bCs w:val="1"/>
                <w:color w:val="auto"/>
              </w:rPr>
              <w:t>December 31,</w:t>
            </w:r>
          </w:p>
        </w:tc>
        <w:tc>
          <w:tcPr>
            <w:tcW w:w="0" w:type="dxa"/>
            <w:vAlign w:val="bottom"/>
          </w:tcPr>
          <w:p>
            <w:pPr>
              <w:spacing w:after="0"/>
              <w:rPr>
                <w:sz w:val="1"/>
                <w:szCs w:val="1"/>
                <w:color w:val="auto"/>
              </w:rPr>
            </w:pPr>
          </w:p>
        </w:tc>
      </w:tr>
      <w:tr>
        <w:trPr>
          <w:trHeight w:val="202"/>
        </w:trPr>
        <w:tc>
          <w:tcPr>
            <w:tcW w:w="420" w:type="dxa"/>
            <w:vAlign w:val="bottom"/>
          </w:tcPr>
          <w:p>
            <w:pPr>
              <w:spacing w:after="0"/>
              <w:rPr>
                <w:sz w:val="17"/>
                <w:szCs w:val="17"/>
                <w:color w:val="auto"/>
              </w:rPr>
            </w:pPr>
          </w:p>
        </w:tc>
        <w:tc>
          <w:tcPr>
            <w:tcW w:w="3180" w:type="dxa"/>
            <w:vAlign w:val="bottom"/>
          </w:tcPr>
          <w:p>
            <w:pPr>
              <w:spacing w:after="0"/>
              <w:rPr>
                <w:sz w:val="17"/>
                <w:szCs w:val="17"/>
                <w:color w:val="auto"/>
              </w:rPr>
            </w:pPr>
          </w:p>
        </w:tc>
        <w:tc>
          <w:tcPr>
            <w:tcW w:w="1780" w:type="dxa"/>
            <w:vAlign w:val="bottom"/>
          </w:tcPr>
          <w:p>
            <w:pPr>
              <w:spacing w:after="0"/>
              <w:rPr>
                <w:sz w:val="17"/>
                <w:szCs w:val="17"/>
                <w:color w:val="auto"/>
              </w:rPr>
            </w:pPr>
          </w:p>
        </w:tc>
        <w:tc>
          <w:tcPr>
            <w:tcW w:w="280" w:type="dxa"/>
            <w:vAlign w:val="bottom"/>
            <w:tcBorders>
              <w:top w:val="single" w:sz="8" w:color="auto"/>
              <w:bottom w:val="single" w:sz="8" w:color="auto"/>
            </w:tcBorders>
          </w:tcPr>
          <w:p>
            <w:pPr>
              <w:spacing w:after="0"/>
              <w:rPr>
                <w:sz w:val="17"/>
                <w:szCs w:val="17"/>
                <w:color w:val="auto"/>
              </w:rPr>
            </w:pPr>
          </w:p>
        </w:tc>
        <w:tc>
          <w:tcPr>
            <w:tcW w:w="1040" w:type="dxa"/>
            <w:vAlign w:val="bottom"/>
            <w:tcBorders>
              <w:top w:val="single" w:sz="8" w:color="auto"/>
              <w:bottom w:val="single" w:sz="8" w:color="auto"/>
            </w:tcBorders>
          </w:tcPr>
          <w:p>
            <w:pPr>
              <w:jc w:val="right"/>
              <w:ind w:right="439"/>
              <w:spacing w:after="0"/>
              <w:rPr>
                <w:sz w:val="20"/>
                <w:szCs w:val="20"/>
                <w:color w:val="auto"/>
              </w:rPr>
            </w:pPr>
            <w:r>
              <w:rPr>
                <w:rFonts w:ascii="Times New Roman" w:cs="Times New Roman" w:eastAsia="Times New Roman" w:hAnsi="Times New Roman"/>
                <w:sz w:val="16"/>
                <w:szCs w:val="16"/>
                <w:b w:val="1"/>
                <w:bCs w:val="1"/>
                <w:color w:val="auto"/>
              </w:rPr>
              <w:t>2025</w:t>
            </w:r>
          </w:p>
        </w:tc>
        <w:tc>
          <w:tcPr>
            <w:tcW w:w="140" w:type="dxa"/>
            <w:vAlign w:val="bottom"/>
            <w:tcBorders>
              <w:top w:val="single" w:sz="8" w:color="auto"/>
            </w:tcBorders>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400" w:type="dxa"/>
            <w:vAlign w:val="bottom"/>
            <w:tcBorders>
              <w:top w:val="single" w:sz="8" w:color="auto"/>
              <w:bottom w:val="single" w:sz="8" w:color="auto"/>
            </w:tcBorders>
          </w:tcPr>
          <w:p>
            <w:pPr>
              <w:spacing w:after="0"/>
              <w:rPr>
                <w:sz w:val="17"/>
                <w:szCs w:val="17"/>
                <w:color w:val="auto"/>
              </w:rPr>
            </w:pPr>
          </w:p>
        </w:tc>
        <w:tc>
          <w:tcPr>
            <w:tcW w:w="800" w:type="dxa"/>
            <w:vAlign w:val="bottom"/>
            <w:tcBorders>
              <w:top w:val="single" w:sz="8" w:color="auto"/>
              <w:bottom w:val="single" w:sz="8" w:color="auto"/>
            </w:tcBorders>
          </w:tcPr>
          <w:p>
            <w:pPr>
              <w:jc w:val="right"/>
              <w:ind w:right="379"/>
              <w:spacing w:after="0"/>
              <w:rPr>
                <w:sz w:val="20"/>
                <w:szCs w:val="20"/>
                <w:color w:val="auto"/>
              </w:rPr>
            </w:pPr>
            <w:r>
              <w:rPr>
                <w:rFonts w:ascii="Times New Roman" w:cs="Times New Roman" w:eastAsia="Times New Roman" w:hAnsi="Times New Roman"/>
                <w:sz w:val="16"/>
                <w:szCs w:val="16"/>
                <w:b w:val="1"/>
                <w:bCs w:val="1"/>
                <w:color w:val="auto"/>
                <w:w w:val="99"/>
              </w:rPr>
              <w:t>2024</w:t>
            </w: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Borders>
              <w:top w:val="single" w:sz="8" w:color="auto"/>
              <w:bottom w:val="single" w:sz="8" w:color="auto"/>
            </w:tcBorders>
          </w:tcPr>
          <w:p>
            <w:pPr>
              <w:spacing w:after="0"/>
              <w:rPr>
                <w:sz w:val="17"/>
                <w:szCs w:val="17"/>
                <w:color w:val="auto"/>
              </w:rPr>
            </w:pPr>
          </w:p>
        </w:tc>
        <w:tc>
          <w:tcPr>
            <w:tcW w:w="840" w:type="dxa"/>
            <w:vAlign w:val="bottom"/>
            <w:tcBorders>
              <w:top w:val="single" w:sz="8" w:color="auto"/>
              <w:bottom w:val="single" w:sz="8" w:color="auto"/>
            </w:tcBorders>
          </w:tcPr>
          <w:p>
            <w:pPr>
              <w:jc w:val="right"/>
              <w:ind w:right="279"/>
              <w:spacing w:after="0"/>
              <w:rPr>
                <w:sz w:val="20"/>
                <w:szCs w:val="20"/>
                <w:color w:val="auto"/>
              </w:rPr>
            </w:pPr>
            <w:r>
              <w:rPr>
                <w:rFonts w:ascii="Times New Roman" w:cs="Times New Roman" w:eastAsia="Times New Roman" w:hAnsi="Times New Roman"/>
                <w:sz w:val="16"/>
                <w:szCs w:val="16"/>
                <w:b w:val="1"/>
                <w:bCs w:val="1"/>
                <w:color w:val="auto"/>
              </w:rPr>
              <w:t>2025</w:t>
            </w:r>
          </w:p>
        </w:tc>
        <w:tc>
          <w:tcPr>
            <w:tcW w:w="120" w:type="dxa"/>
            <w:vAlign w:val="bottom"/>
            <w:tcBorders>
              <w:top w:val="single" w:sz="8" w:color="auto"/>
            </w:tcBorders>
          </w:tcPr>
          <w:p>
            <w:pPr>
              <w:spacing w:after="0"/>
              <w:rPr>
                <w:sz w:val="17"/>
                <w:szCs w:val="17"/>
                <w:color w:val="auto"/>
              </w:rPr>
            </w:pPr>
          </w:p>
        </w:tc>
        <w:tc>
          <w:tcPr>
            <w:tcW w:w="80" w:type="dxa"/>
            <w:vAlign w:val="bottom"/>
            <w:tcBorders>
              <w:top w:val="single" w:sz="8" w:color="auto"/>
            </w:tcBorders>
          </w:tcPr>
          <w:p>
            <w:pPr>
              <w:spacing w:after="0"/>
              <w:rPr>
                <w:sz w:val="17"/>
                <w:szCs w:val="17"/>
                <w:color w:val="auto"/>
              </w:rPr>
            </w:pPr>
          </w:p>
        </w:tc>
        <w:tc>
          <w:tcPr>
            <w:tcW w:w="240" w:type="dxa"/>
            <w:vAlign w:val="bottom"/>
            <w:tcBorders>
              <w:top w:val="single" w:sz="8" w:color="auto"/>
              <w:bottom w:val="single" w:sz="8" w:color="auto"/>
            </w:tcBorders>
          </w:tcPr>
          <w:p>
            <w:pPr>
              <w:spacing w:after="0"/>
              <w:rPr>
                <w:sz w:val="17"/>
                <w:szCs w:val="17"/>
                <w:color w:val="auto"/>
              </w:rPr>
            </w:pPr>
          </w:p>
        </w:tc>
        <w:tc>
          <w:tcPr>
            <w:tcW w:w="920" w:type="dxa"/>
            <w:vAlign w:val="bottom"/>
            <w:tcBorders>
              <w:top w:val="single" w:sz="8" w:color="auto"/>
              <w:bottom w:val="single" w:sz="8" w:color="auto"/>
            </w:tcBorders>
          </w:tcPr>
          <w:p>
            <w:pPr>
              <w:jc w:val="right"/>
              <w:ind w:right="359"/>
              <w:spacing w:after="0"/>
              <w:rPr>
                <w:sz w:val="20"/>
                <w:szCs w:val="20"/>
                <w:color w:val="auto"/>
              </w:rPr>
            </w:pPr>
            <w:r>
              <w:rPr>
                <w:rFonts w:ascii="Times New Roman" w:cs="Times New Roman" w:eastAsia="Times New Roman" w:hAnsi="Times New Roman"/>
                <w:sz w:val="16"/>
                <w:szCs w:val="16"/>
                <w:b w:val="1"/>
                <w:bCs w:val="1"/>
                <w:color w:val="auto"/>
              </w:rPr>
              <w:t>2024</w:t>
            </w:r>
          </w:p>
        </w:tc>
        <w:tc>
          <w:tcPr>
            <w:tcW w:w="8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420" w:type="dxa"/>
            <w:vAlign w:val="bottom"/>
          </w:tcPr>
          <w:p>
            <w:pPr>
              <w:spacing w:after="0"/>
              <w:rPr>
                <w:sz w:val="17"/>
                <w:szCs w:val="17"/>
                <w:color w:val="auto"/>
              </w:rPr>
            </w:pPr>
          </w:p>
        </w:tc>
        <w:tc>
          <w:tcPr>
            <w:tcW w:w="318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Sales</w:t>
            </w:r>
          </w:p>
        </w:tc>
        <w:tc>
          <w:tcPr>
            <w:tcW w:w="1780" w:type="dxa"/>
            <w:vAlign w:val="bottom"/>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104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400" w:type="dxa"/>
            <w:vAlign w:val="bottom"/>
            <w:shd w:val="clear" w:color="auto" w:fill="CFF0FC"/>
          </w:tcPr>
          <w:p>
            <w:pPr>
              <w:spacing w:after="0"/>
              <w:rPr>
                <w:sz w:val="17"/>
                <w:szCs w:val="17"/>
                <w:color w:val="auto"/>
              </w:rPr>
            </w:pPr>
          </w:p>
        </w:tc>
        <w:tc>
          <w:tcPr>
            <w:tcW w:w="80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84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92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4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20" w:type="dxa"/>
            <w:vAlign w:val="bottom"/>
          </w:tcPr>
          <w:p>
            <w:pPr>
              <w:spacing w:after="0"/>
              <w:rPr>
                <w:sz w:val="17"/>
                <w:szCs w:val="17"/>
                <w:color w:val="auto"/>
              </w:rPr>
            </w:pPr>
          </w:p>
        </w:tc>
        <w:tc>
          <w:tcPr>
            <w:tcW w:w="3180" w:type="dxa"/>
            <w:vAlign w:val="bottom"/>
          </w:tcPr>
          <w:p>
            <w:pPr>
              <w:ind w:left="80"/>
              <w:spacing w:after="0"/>
              <w:rPr>
                <w:sz w:val="20"/>
                <w:szCs w:val="20"/>
                <w:color w:val="auto"/>
              </w:rPr>
            </w:pPr>
            <w:r>
              <w:rPr>
                <w:rFonts w:ascii="Times New Roman" w:cs="Times New Roman" w:eastAsia="Times New Roman" w:hAnsi="Times New Roman"/>
                <w:sz w:val="16"/>
                <w:szCs w:val="16"/>
                <w:color w:val="auto"/>
              </w:rPr>
              <w:t>Device</w:t>
            </w:r>
          </w:p>
        </w:tc>
        <w:tc>
          <w:tcPr>
            <w:tcW w:w="206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4,857</w:t>
            </w:r>
          </w:p>
        </w:tc>
        <w:tc>
          <w:tcPr>
            <w:tcW w:w="140" w:type="dxa"/>
            <w:vAlign w:val="bottom"/>
          </w:tcPr>
          <w:p>
            <w:pPr>
              <w:spacing w:after="0"/>
              <w:rPr>
                <w:sz w:val="17"/>
                <w:szCs w:val="17"/>
                <w:color w:val="auto"/>
              </w:rPr>
            </w:pPr>
          </w:p>
        </w:tc>
        <w:tc>
          <w:tcPr>
            <w:tcW w:w="500" w:type="dxa"/>
            <w:vAlign w:val="bottom"/>
            <w:gridSpan w:val="2"/>
          </w:tcPr>
          <w:p>
            <w:pPr>
              <w:jc w:val="right"/>
              <w:ind w:right="340"/>
              <w:spacing w:after="0"/>
              <w:rPr>
                <w:sz w:val="20"/>
                <w:szCs w:val="20"/>
                <w:color w:val="auto"/>
              </w:rPr>
            </w:pPr>
            <w:r>
              <w:rPr>
                <w:rFonts w:ascii="Times New Roman" w:cs="Times New Roman" w:eastAsia="Times New Roman" w:hAnsi="Times New Roman"/>
                <w:sz w:val="16"/>
                <w:szCs w:val="16"/>
                <w:color w:val="auto"/>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1,743</w:t>
            </w:r>
          </w:p>
        </w:tc>
        <w:tc>
          <w:tcPr>
            <w:tcW w:w="160" w:type="dxa"/>
            <w:vAlign w:val="bottom"/>
          </w:tcPr>
          <w:p>
            <w:pPr>
              <w:spacing w:after="0"/>
              <w:rPr>
                <w:sz w:val="17"/>
                <w:szCs w:val="17"/>
                <w:color w:val="auto"/>
              </w:rPr>
            </w:pPr>
          </w:p>
        </w:tc>
        <w:tc>
          <w:tcPr>
            <w:tcW w:w="26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11,398</w:t>
            </w:r>
          </w:p>
        </w:tc>
        <w:tc>
          <w:tcPr>
            <w:tcW w:w="120" w:type="dxa"/>
            <w:vAlign w:val="bottom"/>
          </w:tcPr>
          <w:p>
            <w:pPr>
              <w:spacing w:after="0"/>
              <w:rPr>
                <w:sz w:val="17"/>
                <w:szCs w:val="17"/>
                <w:color w:val="auto"/>
              </w:rPr>
            </w:pPr>
          </w:p>
        </w:tc>
        <w:tc>
          <w:tcPr>
            <w:tcW w:w="32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10,450</w:t>
            </w:r>
          </w:p>
        </w:tc>
        <w:tc>
          <w:tcPr>
            <w:tcW w:w="8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20" w:type="dxa"/>
            <w:vAlign w:val="bottom"/>
          </w:tcPr>
          <w:p>
            <w:pPr>
              <w:spacing w:after="0"/>
              <w:rPr>
                <w:sz w:val="17"/>
                <w:szCs w:val="17"/>
                <w:color w:val="auto"/>
              </w:rPr>
            </w:pPr>
          </w:p>
        </w:tc>
        <w:tc>
          <w:tcPr>
            <w:tcW w:w="3180" w:type="dxa"/>
            <w:vAlign w:val="bottom"/>
            <w:tcBorders>
              <w:bottom w:val="single" w:sz="8" w:color="CFF0FC"/>
            </w:tcBorders>
            <w:shd w:val="clear" w:color="auto" w:fill="CFF0FC"/>
          </w:tcPr>
          <w:p>
            <w:pPr>
              <w:ind w:left="80"/>
              <w:spacing w:after="0"/>
              <w:rPr>
                <w:sz w:val="20"/>
                <w:szCs w:val="20"/>
                <w:color w:val="auto"/>
              </w:rPr>
            </w:pPr>
            <w:r>
              <w:rPr>
                <w:rFonts w:ascii="Times New Roman" w:cs="Times New Roman" w:eastAsia="Times New Roman" w:hAnsi="Times New Roman"/>
                <w:sz w:val="16"/>
                <w:szCs w:val="16"/>
                <w:color w:val="auto"/>
              </w:rPr>
              <w:t>Service</w:t>
            </w:r>
          </w:p>
        </w:tc>
        <w:tc>
          <w:tcPr>
            <w:tcW w:w="1780" w:type="dxa"/>
            <w:vAlign w:val="bottom"/>
            <w:tcBorders>
              <w:bottom w:val="single" w:sz="8" w:color="CFF0FC"/>
            </w:tcBorders>
            <w:shd w:val="clear" w:color="auto" w:fill="CFF0FC"/>
          </w:tcPr>
          <w:p>
            <w:pPr>
              <w:spacing w:after="0"/>
              <w:rPr>
                <w:sz w:val="17"/>
                <w:szCs w:val="17"/>
                <w:color w:val="auto"/>
              </w:rPr>
            </w:pPr>
          </w:p>
        </w:tc>
        <w:tc>
          <w:tcPr>
            <w:tcW w:w="280" w:type="dxa"/>
            <w:vAlign w:val="bottom"/>
            <w:tcBorders>
              <w:bottom w:val="single" w:sz="8" w:color="auto"/>
            </w:tcBorders>
            <w:shd w:val="clear" w:color="auto" w:fill="CFF0FC"/>
          </w:tcPr>
          <w:p>
            <w:pPr>
              <w:spacing w:after="0"/>
              <w:rPr>
                <w:sz w:val="17"/>
                <w:szCs w:val="17"/>
                <w:color w:val="auto"/>
              </w:rPr>
            </w:pPr>
          </w:p>
        </w:tc>
        <w:tc>
          <w:tcPr>
            <w:tcW w:w="10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436</w:t>
            </w:r>
          </w:p>
        </w:tc>
        <w:tc>
          <w:tcPr>
            <w:tcW w:w="140" w:type="dxa"/>
            <w:vAlign w:val="bottom"/>
            <w:tcBorders>
              <w:bottom w:val="single" w:sz="8" w:color="CFF0FC"/>
            </w:tcBorders>
            <w:shd w:val="clear" w:color="auto" w:fill="CFF0FC"/>
          </w:tcPr>
          <w:p>
            <w:pPr>
              <w:spacing w:after="0"/>
              <w:rPr>
                <w:sz w:val="17"/>
                <w:szCs w:val="17"/>
                <w:color w:val="auto"/>
              </w:rPr>
            </w:pPr>
          </w:p>
        </w:tc>
        <w:tc>
          <w:tcPr>
            <w:tcW w:w="100" w:type="dxa"/>
            <w:vAlign w:val="bottom"/>
            <w:tcBorders>
              <w:bottom w:val="single" w:sz="8" w:color="CFF0FC"/>
            </w:tcBorders>
            <w:shd w:val="clear" w:color="auto" w:fill="CFF0FC"/>
          </w:tcPr>
          <w:p>
            <w:pPr>
              <w:spacing w:after="0"/>
              <w:rPr>
                <w:sz w:val="17"/>
                <w:szCs w:val="17"/>
                <w:color w:val="auto"/>
              </w:rPr>
            </w:pPr>
          </w:p>
        </w:tc>
        <w:tc>
          <w:tcPr>
            <w:tcW w:w="400" w:type="dxa"/>
            <w:vAlign w:val="bottom"/>
            <w:tcBorders>
              <w:bottom w:val="single" w:sz="8" w:color="auto"/>
            </w:tcBorders>
            <w:shd w:val="clear" w:color="auto" w:fill="CFF0FC"/>
          </w:tcPr>
          <w:p>
            <w:pPr>
              <w:spacing w:after="0"/>
              <w:rPr>
                <w:sz w:val="17"/>
                <w:szCs w:val="17"/>
                <w:color w:val="auto"/>
              </w:rPr>
            </w:pPr>
          </w:p>
        </w:tc>
        <w:tc>
          <w:tcPr>
            <w:tcW w:w="8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578</w:t>
            </w:r>
          </w:p>
        </w:tc>
        <w:tc>
          <w:tcPr>
            <w:tcW w:w="160" w:type="dxa"/>
            <w:vAlign w:val="bottom"/>
            <w:tcBorders>
              <w:bottom w:val="single" w:sz="8" w:color="CFF0FC"/>
            </w:tcBorders>
            <w:shd w:val="clear" w:color="auto" w:fill="CFF0FC"/>
          </w:tcPr>
          <w:p>
            <w:pPr>
              <w:spacing w:after="0"/>
              <w:rPr>
                <w:sz w:val="17"/>
                <w:szCs w:val="17"/>
                <w:color w:val="auto"/>
              </w:rPr>
            </w:pPr>
          </w:p>
        </w:tc>
        <w:tc>
          <w:tcPr>
            <w:tcW w:w="100" w:type="dxa"/>
            <w:vAlign w:val="bottom"/>
            <w:tcBorders>
              <w:bottom w:val="single" w:sz="8" w:color="CFF0FC"/>
            </w:tcBorders>
            <w:shd w:val="clear" w:color="auto" w:fill="CFF0FC"/>
          </w:tcPr>
          <w:p>
            <w:pPr>
              <w:spacing w:after="0"/>
              <w:rPr>
                <w:sz w:val="17"/>
                <w:szCs w:val="17"/>
                <w:color w:val="auto"/>
              </w:rPr>
            </w:pPr>
          </w:p>
        </w:tc>
        <w:tc>
          <w:tcPr>
            <w:tcW w:w="160" w:type="dxa"/>
            <w:vAlign w:val="bottom"/>
            <w:tcBorders>
              <w:bottom w:val="single" w:sz="8" w:color="auto"/>
            </w:tcBorders>
            <w:shd w:val="clear" w:color="auto" w:fill="CFF0FC"/>
          </w:tcPr>
          <w:p>
            <w:pPr>
              <w:spacing w:after="0"/>
              <w:rPr>
                <w:sz w:val="17"/>
                <w:szCs w:val="17"/>
                <w:color w:val="auto"/>
              </w:rPr>
            </w:pPr>
          </w:p>
        </w:tc>
        <w:tc>
          <w:tcPr>
            <w:tcW w:w="8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2,165</w:t>
            </w:r>
          </w:p>
        </w:tc>
        <w:tc>
          <w:tcPr>
            <w:tcW w:w="120" w:type="dxa"/>
            <w:vAlign w:val="bottom"/>
            <w:tcBorders>
              <w:bottom w:val="single" w:sz="8" w:color="CFF0FC"/>
            </w:tcBorders>
            <w:shd w:val="clear" w:color="auto" w:fill="CFF0FC"/>
          </w:tcPr>
          <w:p>
            <w:pPr>
              <w:spacing w:after="0"/>
              <w:rPr>
                <w:sz w:val="17"/>
                <w:szCs w:val="17"/>
                <w:color w:val="auto"/>
              </w:rPr>
            </w:pPr>
          </w:p>
        </w:tc>
        <w:tc>
          <w:tcPr>
            <w:tcW w:w="80" w:type="dxa"/>
            <w:vAlign w:val="bottom"/>
            <w:tcBorders>
              <w:bottom w:val="single" w:sz="8" w:color="CFF0FC"/>
            </w:tcBorders>
            <w:shd w:val="clear" w:color="auto" w:fill="CFF0FC"/>
          </w:tcPr>
          <w:p>
            <w:pPr>
              <w:spacing w:after="0"/>
              <w:rPr>
                <w:sz w:val="17"/>
                <w:szCs w:val="17"/>
                <w:color w:val="auto"/>
              </w:rPr>
            </w:pPr>
          </w:p>
        </w:tc>
        <w:tc>
          <w:tcPr>
            <w:tcW w:w="240" w:type="dxa"/>
            <w:vAlign w:val="bottom"/>
            <w:tcBorders>
              <w:bottom w:val="single" w:sz="8" w:color="auto"/>
            </w:tcBorders>
            <w:shd w:val="clear" w:color="auto" w:fill="CFF0FC"/>
          </w:tcPr>
          <w:p>
            <w:pPr>
              <w:spacing w:after="0"/>
              <w:rPr>
                <w:sz w:val="17"/>
                <w:szCs w:val="17"/>
                <w:color w:val="auto"/>
              </w:rPr>
            </w:pPr>
          </w:p>
        </w:tc>
        <w:tc>
          <w:tcPr>
            <w:tcW w:w="9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2,440</w:t>
            </w:r>
          </w:p>
        </w:tc>
        <w:tc>
          <w:tcPr>
            <w:tcW w:w="80" w:type="dxa"/>
            <w:vAlign w:val="bottom"/>
            <w:tcBorders>
              <w:bottom w:val="single" w:sz="8" w:color="CFF0FC"/>
            </w:tcBorders>
            <w:shd w:val="clear" w:color="auto" w:fill="CFF0FC"/>
          </w:tcPr>
          <w:p>
            <w:pPr>
              <w:spacing w:after="0"/>
              <w:rPr>
                <w:sz w:val="17"/>
                <w:szCs w:val="17"/>
                <w:color w:val="auto"/>
              </w:rPr>
            </w:pPr>
          </w:p>
        </w:tc>
        <w:tc>
          <w:tcPr>
            <w:tcW w:w="4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420" w:type="dxa"/>
            <w:vAlign w:val="bottom"/>
          </w:tcPr>
          <w:p>
            <w:pPr>
              <w:spacing w:after="0"/>
              <w:rPr>
                <w:sz w:val="17"/>
                <w:szCs w:val="17"/>
                <w:color w:val="auto"/>
              </w:rPr>
            </w:pPr>
          </w:p>
        </w:tc>
        <w:tc>
          <w:tcPr>
            <w:tcW w:w="3180" w:type="dxa"/>
            <w:vAlign w:val="bottom"/>
          </w:tcPr>
          <w:p>
            <w:pPr>
              <w:ind w:left="160"/>
              <w:spacing w:after="0"/>
              <w:rPr>
                <w:sz w:val="20"/>
                <w:szCs w:val="20"/>
                <w:color w:val="auto"/>
              </w:rPr>
            </w:pPr>
            <w:r>
              <w:rPr>
                <w:rFonts w:ascii="Times New Roman" w:cs="Times New Roman" w:eastAsia="Times New Roman" w:hAnsi="Times New Roman"/>
                <w:sz w:val="16"/>
                <w:szCs w:val="16"/>
                <w:color w:val="auto"/>
              </w:rPr>
              <w:t>Total sales</w:t>
            </w:r>
          </w:p>
        </w:tc>
        <w:tc>
          <w:tcPr>
            <w:tcW w:w="206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5,293</w:t>
            </w:r>
          </w:p>
        </w:tc>
        <w:tc>
          <w:tcPr>
            <w:tcW w:w="140" w:type="dxa"/>
            <w:vAlign w:val="bottom"/>
          </w:tcPr>
          <w:p>
            <w:pPr>
              <w:spacing w:after="0"/>
              <w:rPr>
                <w:sz w:val="17"/>
                <w:szCs w:val="17"/>
                <w:color w:val="auto"/>
              </w:rPr>
            </w:pPr>
          </w:p>
        </w:tc>
        <w:tc>
          <w:tcPr>
            <w:tcW w:w="500" w:type="dxa"/>
            <w:vAlign w:val="bottom"/>
            <w:gridSpan w:val="2"/>
          </w:tcPr>
          <w:p>
            <w:pPr>
              <w:jc w:val="right"/>
              <w:ind w:right="340"/>
              <w:spacing w:after="0"/>
              <w:rPr>
                <w:sz w:val="20"/>
                <w:szCs w:val="20"/>
                <w:color w:val="auto"/>
              </w:rPr>
            </w:pPr>
            <w:r>
              <w:rPr>
                <w:rFonts w:ascii="Times New Roman" w:cs="Times New Roman" w:eastAsia="Times New Roman" w:hAnsi="Times New Roman"/>
                <w:sz w:val="16"/>
                <w:szCs w:val="16"/>
                <w:color w:val="auto"/>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2,321</w:t>
            </w:r>
          </w:p>
        </w:tc>
        <w:tc>
          <w:tcPr>
            <w:tcW w:w="160" w:type="dxa"/>
            <w:vAlign w:val="bottom"/>
          </w:tcPr>
          <w:p>
            <w:pPr>
              <w:spacing w:after="0"/>
              <w:rPr>
                <w:sz w:val="17"/>
                <w:szCs w:val="17"/>
                <w:color w:val="auto"/>
              </w:rPr>
            </w:pPr>
          </w:p>
        </w:tc>
        <w:tc>
          <w:tcPr>
            <w:tcW w:w="26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13,563</w:t>
            </w:r>
          </w:p>
        </w:tc>
        <w:tc>
          <w:tcPr>
            <w:tcW w:w="120" w:type="dxa"/>
            <w:vAlign w:val="bottom"/>
          </w:tcPr>
          <w:p>
            <w:pPr>
              <w:spacing w:after="0"/>
              <w:rPr>
                <w:sz w:val="17"/>
                <w:szCs w:val="17"/>
                <w:color w:val="auto"/>
              </w:rPr>
            </w:pPr>
          </w:p>
        </w:tc>
        <w:tc>
          <w:tcPr>
            <w:tcW w:w="32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12,890</w:t>
            </w:r>
          </w:p>
        </w:tc>
        <w:tc>
          <w:tcPr>
            <w:tcW w:w="8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20" w:type="dxa"/>
            <w:vAlign w:val="bottom"/>
          </w:tcPr>
          <w:p>
            <w:pPr>
              <w:spacing w:after="0"/>
              <w:rPr>
                <w:sz w:val="17"/>
                <w:szCs w:val="17"/>
                <w:color w:val="auto"/>
              </w:rPr>
            </w:pPr>
          </w:p>
        </w:tc>
        <w:tc>
          <w:tcPr>
            <w:tcW w:w="318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Cost of sales</w:t>
            </w:r>
          </w:p>
        </w:tc>
        <w:tc>
          <w:tcPr>
            <w:tcW w:w="1780" w:type="dxa"/>
            <w:vAlign w:val="bottom"/>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104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400" w:type="dxa"/>
            <w:vAlign w:val="bottom"/>
            <w:shd w:val="clear" w:color="auto" w:fill="CFF0FC"/>
          </w:tcPr>
          <w:p>
            <w:pPr>
              <w:spacing w:after="0"/>
              <w:rPr>
                <w:sz w:val="17"/>
                <w:szCs w:val="17"/>
                <w:color w:val="auto"/>
              </w:rPr>
            </w:pPr>
          </w:p>
        </w:tc>
        <w:tc>
          <w:tcPr>
            <w:tcW w:w="80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84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92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4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20" w:type="dxa"/>
            <w:vAlign w:val="bottom"/>
          </w:tcPr>
          <w:p>
            <w:pPr>
              <w:spacing w:after="0"/>
              <w:rPr>
                <w:sz w:val="17"/>
                <w:szCs w:val="17"/>
                <w:color w:val="auto"/>
              </w:rPr>
            </w:pPr>
          </w:p>
        </w:tc>
        <w:tc>
          <w:tcPr>
            <w:tcW w:w="3180" w:type="dxa"/>
            <w:vAlign w:val="bottom"/>
          </w:tcPr>
          <w:p>
            <w:pPr>
              <w:ind w:left="80"/>
              <w:spacing w:after="0"/>
              <w:rPr>
                <w:sz w:val="20"/>
                <w:szCs w:val="20"/>
                <w:color w:val="auto"/>
              </w:rPr>
            </w:pPr>
            <w:r>
              <w:rPr>
                <w:rFonts w:ascii="Times New Roman" w:cs="Times New Roman" w:eastAsia="Times New Roman" w:hAnsi="Times New Roman"/>
                <w:sz w:val="16"/>
                <w:szCs w:val="16"/>
                <w:color w:val="auto"/>
              </w:rPr>
              <w:t>Device</w:t>
            </w:r>
          </w:p>
        </w:tc>
        <w:tc>
          <w:tcPr>
            <w:tcW w:w="206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2,345</w:t>
            </w:r>
          </w:p>
        </w:tc>
        <w:tc>
          <w:tcPr>
            <w:tcW w:w="140" w:type="dxa"/>
            <w:vAlign w:val="bottom"/>
          </w:tcPr>
          <w:p>
            <w:pPr>
              <w:spacing w:after="0"/>
              <w:rPr>
                <w:sz w:val="17"/>
                <w:szCs w:val="17"/>
                <w:color w:val="auto"/>
              </w:rPr>
            </w:pPr>
          </w:p>
        </w:tc>
        <w:tc>
          <w:tcPr>
            <w:tcW w:w="500" w:type="dxa"/>
            <w:vAlign w:val="bottom"/>
            <w:gridSpan w:val="2"/>
          </w:tcPr>
          <w:p>
            <w:pPr>
              <w:jc w:val="right"/>
              <w:ind w:right="340"/>
              <w:spacing w:after="0"/>
              <w:rPr>
                <w:sz w:val="20"/>
                <w:szCs w:val="20"/>
                <w:color w:val="auto"/>
              </w:rPr>
            </w:pPr>
            <w:r>
              <w:rPr>
                <w:rFonts w:ascii="Times New Roman" w:cs="Times New Roman" w:eastAsia="Times New Roman" w:hAnsi="Times New Roman"/>
                <w:sz w:val="16"/>
                <w:szCs w:val="16"/>
                <w:color w:val="auto"/>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1,107</w:t>
            </w:r>
          </w:p>
        </w:tc>
        <w:tc>
          <w:tcPr>
            <w:tcW w:w="160" w:type="dxa"/>
            <w:vAlign w:val="bottom"/>
          </w:tcPr>
          <w:p>
            <w:pPr>
              <w:spacing w:after="0"/>
              <w:rPr>
                <w:sz w:val="17"/>
                <w:szCs w:val="17"/>
                <w:color w:val="auto"/>
              </w:rPr>
            </w:pPr>
          </w:p>
        </w:tc>
        <w:tc>
          <w:tcPr>
            <w:tcW w:w="26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5,755</w:t>
            </w:r>
          </w:p>
        </w:tc>
        <w:tc>
          <w:tcPr>
            <w:tcW w:w="120" w:type="dxa"/>
            <w:vAlign w:val="bottom"/>
          </w:tcPr>
          <w:p>
            <w:pPr>
              <w:spacing w:after="0"/>
              <w:rPr>
                <w:sz w:val="17"/>
                <w:szCs w:val="17"/>
                <w:color w:val="auto"/>
              </w:rPr>
            </w:pPr>
          </w:p>
        </w:tc>
        <w:tc>
          <w:tcPr>
            <w:tcW w:w="32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5,387</w:t>
            </w:r>
          </w:p>
        </w:tc>
        <w:tc>
          <w:tcPr>
            <w:tcW w:w="8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20" w:type="dxa"/>
            <w:vAlign w:val="bottom"/>
          </w:tcPr>
          <w:p>
            <w:pPr>
              <w:spacing w:after="0"/>
              <w:rPr>
                <w:sz w:val="17"/>
                <w:szCs w:val="17"/>
                <w:color w:val="auto"/>
              </w:rPr>
            </w:pPr>
          </w:p>
        </w:tc>
        <w:tc>
          <w:tcPr>
            <w:tcW w:w="3180" w:type="dxa"/>
            <w:vAlign w:val="bottom"/>
            <w:tcBorders>
              <w:bottom w:val="single" w:sz="8" w:color="CFF0FC"/>
            </w:tcBorders>
            <w:shd w:val="clear" w:color="auto" w:fill="CFF0FC"/>
          </w:tcPr>
          <w:p>
            <w:pPr>
              <w:ind w:left="80"/>
              <w:spacing w:after="0"/>
              <w:rPr>
                <w:sz w:val="20"/>
                <w:szCs w:val="20"/>
                <w:color w:val="auto"/>
              </w:rPr>
            </w:pPr>
            <w:r>
              <w:rPr>
                <w:rFonts w:ascii="Times New Roman" w:cs="Times New Roman" w:eastAsia="Times New Roman" w:hAnsi="Times New Roman"/>
                <w:sz w:val="16"/>
                <w:szCs w:val="16"/>
                <w:color w:val="auto"/>
              </w:rPr>
              <w:t>Service</w:t>
            </w:r>
          </w:p>
        </w:tc>
        <w:tc>
          <w:tcPr>
            <w:tcW w:w="1780" w:type="dxa"/>
            <w:vAlign w:val="bottom"/>
            <w:tcBorders>
              <w:bottom w:val="single" w:sz="8" w:color="CFF0FC"/>
            </w:tcBorders>
            <w:shd w:val="clear" w:color="auto" w:fill="CFF0FC"/>
          </w:tcPr>
          <w:p>
            <w:pPr>
              <w:spacing w:after="0"/>
              <w:rPr>
                <w:sz w:val="17"/>
                <w:szCs w:val="17"/>
                <w:color w:val="auto"/>
              </w:rPr>
            </w:pPr>
          </w:p>
        </w:tc>
        <w:tc>
          <w:tcPr>
            <w:tcW w:w="280" w:type="dxa"/>
            <w:vAlign w:val="bottom"/>
            <w:tcBorders>
              <w:bottom w:val="single" w:sz="8" w:color="auto"/>
            </w:tcBorders>
            <w:shd w:val="clear" w:color="auto" w:fill="CFF0FC"/>
          </w:tcPr>
          <w:p>
            <w:pPr>
              <w:spacing w:after="0"/>
              <w:rPr>
                <w:sz w:val="17"/>
                <w:szCs w:val="17"/>
                <w:color w:val="auto"/>
              </w:rPr>
            </w:pPr>
          </w:p>
        </w:tc>
        <w:tc>
          <w:tcPr>
            <w:tcW w:w="10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254</w:t>
            </w:r>
          </w:p>
        </w:tc>
        <w:tc>
          <w:tcPr>
            <w:tcW w:w="140" w:type="dxa"/>
            <w:vAlign w:val="bottom"/>
            <w:tcBorders>
              <w:bottom w:val="single" w:sz="8" w:color="CFF0FC"/>
            </w:tcBorders>
            <w:shd w:val="clear" w:color="auto" w:fill="CFF0FC"/>
          </w:tcPr>
          <w:p>
            <w:pPr>
              <w:spacing w:after="0"/>
              <w:rPr>
                <w:sz w:val="17"/>
                <w:szCs w:val="17"/>
                <w:color w:val="auto"/>
              </w:rPr>
            </w:pPr>
          </w:p>
        </w:tc>
        <w:tc>
          <w:tcPr>
            <w:tcW w:w="100" w:type="dxa"/>
            <w:vAlign w:val="bottom"/>
            <w:tcBorders>
              <w:bottom w:val="single" w:sz="8" w:color="CFF0FC"/>
            </w:tcBorders>
            <w:shd w:val="clear" w:color="auto" w:fill="CFF0FC"/>
          </w:tcPr>
          <w:p>
            <w:pPr>
              <w:spacing w:after="0"/>
              <w:rPr>
                <w:sz w:val="17"/>
                <w:szCs w:val="17"/>
                <w:color w:val="auto"/>
              </w:rPr>
            </w:pPr>
          </w:p>
        </w:tc>
        <w:tc>
          <w:tcPr>
            <w:tcW w:w="400" w:type="dxa"/>
            <w:vAlign w:val="bottom"/>
            <w:tcBorders>
              <w:bottom w:val="single" w:sz="8" w:color="auto"/>
            </w:tcBorders>
            <w:shd w:val="clear" w:color="auto" w:fill="CFF0FC"/>
          </w:tcPr>
          <w:p>
            <w:pPr>
              <w:spacing w:after="0"/>
              <w:rPr>
                <w:sz w:val="17"/>
                <w:szCs w:val="17"/>
                <w:color w:val="auto"/>
              </w:rPr>
            </w:pPr>
          </w:p>
        </w:tc>
        <w:tc>
          <w:tcPr>
            <w:tcW w:w="8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388</w:t>
            </w:r>
          </w:p>
        </w:tc>
        <w:tc>
          <w:tcPr>
            <w:tcW w:w="160" w:type="dxa"/>
            <w:vAlign w:val="bottom"/>
            <w:tcBorders>
              <w:bottom w:val="single" w:sz="8" w:color="CFF0FC"/>
            </w:tcBorders>
            <w:shd w:val="clear" w:color="auto" w:fill="CFF0FC"/>
          </w:tcPr>
          <w:p>
            <w:pPr>
              <w:spacing w:after="0"/>
              <w:rPr>
                <w:sz w:val="17"/>
                <w:szCs w:val="17"/>
                <w:color w:val="auto"/>
              </w:rPr>
            </w:pPr>
          </w:p>
        </w:tc>
        <w:tc>
          <w:tcPr>
            <w:tcW w:w="100" w:type="dxa"/>
            <w:vAlign w:val="bottom"/>
            <w:tcBorders>
              <w:bottom w:val="single" w:sz="8" w:color="CFF0FC"/>
            </w:tcBorders>
            <w:shd w:val="clear" w:color="auto" w:fill="CFF0FC"/>
          </w:tcPr>
          <w:p>
            <w:pPr>
              <w:spacing w:after="0"/>
              <w:rPr>
                <w:sz w:val="17"/>
                <w:szCs w:val="17"/>
                <w:color w:val="auto"/>
              </w:rPr>
            </w:pPr>
          </w:p>
        </w:tc>
        <w:tc>
          <w:tcPr>
            <w:tcW w:w="160" w:type="dxa"/>
            <w:vAlign w:val="bottom"/>
            <w:tcBorders>
              <w:bottom w:val="single" w:sz="8" w:color="auto"/>
            </w:tcBorders>
            <w:shd w:val="clear" w:color="auto" w:fill="CFF0FC"/>
          </w:tcPr>
          <w:p>
            <w:pPr>
              <w:spacing w:after="0"/>
              <w:rPr>
                <w:sz w:val="17"/>
                <w:szCs w:val="17"/>
                <w:color w:val="auto"/>
              </w:rPr>
            </w:pPr>
          </w:p>
        </w:tc>
        <w:tc>
          <w:tcPr>
            <w:tcW w:w="8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1,055</w:t>
            </w:r>
          </w:p>
        </w:tc>
        <w:tc>
          <w:tcPr>
            <w:tcW w:w="120" w:type="dxa"/>
            <w:vAlign w:val="bottom"/>
            <w:tcBorders>
              <w:bottom w:val="single" w:sz="8" w:color="CFF0FC"/>
            </w:tcBorders>
            <w:shd w:val="clear" w:color="auto" w:fill="CFF0FC"/>
          </w:tcPr>
          <w:p>
            <w:pPr>
              <w:spacing w:after="0"/>
              <w:rPr>
                <w:sz w:val="17"/>
                <w:szCs w:val="17"/>
                <w:color w:val="auto"/>
              </w:rPr>
            </w:pPr>
          </w:p>
        </w:tc>
        <w:tc>
          <w:tcPr>
            <w:tcW w:w="80" w:type="dxa"/>
            <w:vAlign w:val="bottom"/>
            <w:tcBorders>
              <w:bottom w:val="single" w:sz="8" w:color="CFF0FC"/>
            </w:tcBorders>
            <w:shd w:val="clear" w:color="auto" w:fill="CFF0FC"/>
          </w:tcPr>
          <w:p>
            <w:pPr>
              <w:spacing w:after="0"/>
              <w:rPr>
                <w:sz w:val="17"/>
                <w:szCs w:val="17"/>
                <w:color w:val="auto"/>
              </w:rPr>
            </w:pPr>
          </w:p>
        </w:tc>
        <w:tc>
          <w:tcPr>
            <w:tcW w:w="240" w:type="dxa"/>
            <w:vAlign w:val="bottom"/>
            <w:tcBorders>
              <w:bottom w:val="single" w:sz="8" w:color="auto"/>
            </w:tcBorders>
            <w:shd w:val="clear" w:color="auto" w:fill="CFF0FC"/>
          </w:tcPr>
          <w:p>
            <w:pPr>
              <w:spacing w:after="0"/>
              <w:rPr>
                <w:sz w:val="17"/>
                <w:szCs w:val="17"/>
                <w:color w:val="auto"/>
              </w:rPr>
            </w:pPr>
          </w:p>
        </w:tc>
        <w:tc>
          <w:tcPr>
            <w:tcW w:w="9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1,612</w:t>
            </w:r>
          </w:p>
        </w:tc>
        <w:tc>
          <w:tcPr>
            <w:tcW w:w="80" w:type="dxa"/>
            <w:vAlign w:val="bottom"/>
            <w:tcBorders>
              <w:bottom w:val="single" w:sz="8" w:color="CFF0FC"/>
            </w:tcBorders>
            <w:shd w:val="clear" w:color="auto" w:fill="CFF0FC"/>
          </w:tcPr>
          <w:p>
            <w:pPr>
              <w:spacing w:after="0"/>
              <w:rPr>
                <w:sz w:val="17"/>
                <w:szCs w:val="17"/>
                <w:color w:val="auto"/>
              </w:rPr>
            </w:pPr>
          </w:p>
        </w:tc>
        <w:tc>
          <w:tcPr>
            <w:tcW w:w="4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420" w:type="dxa"/>
            <w:vAlign w:val="bottom"/>
          </w:tcPr>
          <w:p>
            <w:pPr>
              <w:spacing w:after="0"/>
              <w:rPr>
                <w:sz w:val="17"/>
                <w:szCs w:val="17"/>
                <w:color w:val="auto"/>
              </w:rPr>
            </w:pPr>
          </w:p>
        </w:tc>
        <w:tc>
          <w:tcPr>
            <w:tcW w:w="3180" w:type="dxa"/>
            <w:vAlign w:val="bottom"/>
          </w:tcPr>
          <w:p>
            <w:pPr>
              <w:ind w:left="160"/>
              <w:spacing w:after="0"/>
              <w:rPr>
                <w:sz w:val="20"/>
                <w:szCs w:val="20"/>
                <w:color w:val="auto"/>
              </w:rPr>
            </w:pPr>
            <w:r>
              <w:rPr>
                <w:rFonts w:ascii="Times New Roman" w:cs="Times New Roman" w:eastAsia="Times New Roman" w:hAnsi="Times New Roman"/>
                <w:sz w:val="16"/>
                <w:szCs w:val="16"/>
                <w:color w:val="auto"/>
              </w:rPr>
              <w:t>Total cost of sales</w:t>
            </w:r>
          </w:p>
        </w:tc>
        <w:tc>
          <w:tcPr>
            <w:tcW w:w="206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2,599</w:t>
            </w:r>
          </w:p>
        </w:tc>
        <w:tc>
          <w:tcPr>
            <w:tcW w:w="140" w:type="dxa"/>
            <w:vAlign w:val="bottom"/>
          </w:tcPr>
          <w:p>
            <w:pPr>
              <w:spacing w:after="0"/>
              <w:rPr>
                <w:sz w:val="17"/>
                <w:szCs w:val="17"/>
                <w:color w:val="auto"/>
              </w:rPr>
            </w:pPr>
          </w:p>
        </w:tc>
        <w:tc>
          <w:tcPr>
            <w:tcW w:w="500" w:type="dxa"/>
            <w:vAlign w:val="bottom"/>
            <w:gridSpan w:val="2"/>
          </w:tcPr>
          <w:p>
            <w:pPr>
              <w:jc w:val="right"/>
              <w:ind w:right="340"/>
              <w:spacing w:after="0"/>
              <w:rPr>
                <w:sz w:val="20"/>
                <w:szCs w:val="20"/>
                <w:color w:val="auto"/>
              </w:rPr>
            </w:pPr>
            <w:r>
              <w:rPr>
                <w:rFonts w:ascii="Times New Roman" w:cs="Times New Roman" w:eastAsia="Times New Roman" w:hAnsi="Times New Roman"/>
                <w:sz w:val="16"/>
                <w:szCs w:val="16"/>
                <w:color w:val="auto"/>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1,495</w:t>
            </w:r>
          </w:p>
        </w:tc>
        <w:tc>
          <w:tcPr>
            <w:tcW w:w="160" w:type="dxa"/>
            <w:vAlign w:val="bottom"/>
          </w:tcPr>
          <w:p>
            <w:pPr>
              <w:spacing w:after="0"/>
              <w:rPr>
                <w:sz w:val="17"/>
                <w:szCs w:val="17"/>
                <w:color w:val="auto"/>
              </w:rPr>
            </w:pPr>
          </w:p>
        </w:tc>
        <w:tc>
          <w:tcPr>
            <w:tcW w:w="26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6,810</w:t>
            </w:r>
          </w:p>
        </w:tc>
        <w:tc>
          <w:tcPr>
            <w:tcW w:w="120" w:type="dxa"/>
            <w:vAlign w:val="bottom"/>
          </w:tcPr>
          <w:p>
            <w:pPr>
              <w:spacing w:after="0"/>
              <w:rPr>
                <w:sz w:val="17"/>
                <w:szCs w:val="17"/>
                <w:color w:val="auto"/>
              </w:rPr>
            </w:pPr>
          </w:p>
        </w:tc>
        <w:tc>
          <w:tcPr>
            <w:tcW w:w="32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6,999</w:t>
            </w:r>
          </w:p>
        </w:tc>
        <w:tc>
          <w:tcPr>
            <w:tcW w:w="8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420" w:type="dxa"/>
            <w:vAlign w:val="bottom"/>
          </w:tcPr>
          <w:p>
            <w:pPr>
              <w:spacing w:after="0"/>
              <w:rPr>
                <w:sz w:val="17"/>
                <w:szCs w:val="17"/>
                <w:color w:val="auto"/>
              </w:rPr>
            </w:pPr>
          </w:p>
        </w:tc>
        <w:tc>
          <w:tcPr>
            <w:tcW w:w="318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b w:val="1"/>
                <w:bCs w:val="1"/>
                <w:color w:val="auto"/>
              </w:rPr>
              <w:t>Gross profit</w:t>
            </w:r>
          </w:p>
        </w:tc>
        <w:tc>
          <w:tcPr>
            <w:tcW w:w="1780" w:type="dxa"/>
            <w:vAlign w:val="bottom"/>
            <w:shd w:val="clear" w:color="auto" w:fill="CFF0FC"/>
          </w:tcPr>
          <w:p>
            <w:pPr>
              <w:spacing w:after="0"/>
              <w:rPr>
                <w:sz w:val="17"/>
                <w:szCs w:val="17"/>
                <w:color w:val="auto"/>
              </w:rPr>
            </w:pPr>
          </w:p>
        </w:tc>
        <w:tc>
          <w:tcPr>
            <w:tcW w:w="280" w:type="dxa"/>
            <w:vAlign w:val="bottom"/>
            <w:tcBorders>
              <w:top w:val="single" w:sz="8" w:color="auto"/>
            </w:tcBorders>
            <w:shd w:val="clear" w:color="auto" w:fill="CFF0FC"/>
          </w:tcPr>
          <w:p>
            <w:pPr>
              <w:spacing w:after="0"/>
              <w:rPr>
                <w:sz w:val="17"/>
                <w:szCs w:val="17"/>
                <w:color w:val="auto"/>
              </w:rPr>
            </w:pPr>
          </w:p>
        </w:tc>
        <w:tc>
          <w:tcPr>
            <w:tcW w:w="104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b w:val="1"/>
                <w:bCs w:val="1"/>
                <w:color w:val="auto"/>
              </w:rPr>
              <w:t>2,694</w:t>
            </w:r>
          </w:p>
        </w:tc>
        <w:tc>
          <w:tcPr>
            <w:tcW w:w="14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400" w:type="dxa"/>
            <w:vAlign w:val="bottom"/>
            <w:tcBorders>
              <w:top w:val="single" w:sz="8" w:color="auto"/>
            </w:tcBorders>
            <w:shd w:val="clear" w:color="auto" w:fill="CFF0FC"/>
          </w:tcPr>
          <w:p>
            <w:pPr>
              <w:spacing w:after="0"/>
              <w:rPr>
                <w:sz w:val="17"/>
                <w:szCs w:val="17"/>
                <w:color w:val="auto"/>
              </w:rPr>
            </w:pPr>
          </w:p>
        </w:tc>
        <w:tc>
          <w:tcPr>
            <w:tcW w:w="80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b w:val="1"/>
                <w:bCs w:val="1"/>
                <w:color w:val="auto"/>
              </w:rPr>
              <w:t>826</w:t>
            </w:r>
          </w:p>
        </w:tc>
        <w:tc>
          <w:tcPr>
            <w:tcW w:w="16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160" w:type="dxa"/>
            <w:vAlign w:val="bottom"/>
            <w:tcBorders>
              <w:top w:val="single" w:sz="8" w:color="auto"/>
            </w:tcBorders>
            <w:shd w:val="clear" w:color="auto" w:fill="CFF0FC"/>
          </w:tcPr>
          <w:p>
            <w:pPr>
              <w:spacing w:after="0"/>
              <w:rPr>
                <w:sz w:val="17"/>
                <w:szCs w:val="17"/>
                <w:color w:val="auto"/>
              </w:rPr>
            </w:pPr>
          </w:p>
        </w:tc>
        <w:tc>
          <w:tcPr>
            <w:tcW w:w="84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b w:val="1"/>
                <w:bCs w:val="1"/>
                <w:color w:val="auto"/>
              </w:rPr>
              <w:t>6,753</w:t>
            </w:r>
          </w:p>
        </w:tc>
        <w:tc>
          <w:tcPr>
            <w:tcW w:w="12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240" w:type="dxa"/>
            <w:vAlign w:val="bottom"/>
            <w:tcBorders>
              <w:top w:val="single" w:sz="8" w:color="auto"/>
            </w:tcBorders>
            <w:shd w:val="clear" w:color="auto" w:fill="CFF0FC"/>
          </w:tcPr>
          <w:p>
            <w:pPr>
              <w:spacing w:after="0"/>
              <w:rPr>
                <w:sz w:val="17"/>
                <w:szCs w:val="17"/>
                <w:color w:val="auto"/>
              </w:rPr>
            </w:pPr>
          </w:p>
        </w:tc>
        <w:tc>
          <w:tcPr>
            <w:tcW w:w="92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b w:val="1"/>
                <w:bCs w:val="1"/>
                <w:color w:val="auto"/>
              </w:rPr>
              <w:t>5,891</w:t>
            </w:r>
          </w:p>
        </w:tc>
        <w:tc>
          <w:tcPr>
            <w:tcW w:w="80" w:type="dxa"/>
            <w:vAlign w:val="bottom"/>
            <w:shd w:val="clear" w:color="auto" w:fill="CFF0FC"/>
          </w:tcPr>
          <w:p>
            <w:pPr>
              <w:spacing w:after="0"/>
              <w:rPr>
                <w:sz w:val="17"/>
                <w:szCs w:val="17"/>
                <w:color w:val="auto"/>
              </w:rPr>
            </w:pPr>
          </w:p>
        </w:tc>
        <w:tc>
          <w:tcPr>
            <w:tcW w:w="4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20" w:type="dxa"/>
            <w:vAlign w:val="bottom"/>
          </w:tcPr>
          <w:p>
            <w:pPr>
              <w:spacing w:after="0"/>
              <w:rPr>
                <w:sz w:val="17"/>
                <w:szCs w:val="17"/>
                <w:color w:val="auto"/>
              </w:rPr>
            </w:pPr>
          </w:p>
        </w:tc>
        <w:tc>
          <w:tcPr>
            <w:tcW w:w="3180" w:type="dxa"/>
            <w:vAlign w:val="bottom"/>
          </w:tcPr>
          <w:p>
            <w:pPr>
              <w:spacing w:after="0"/>
              <w:rPr>
                <w:sz w:val="20"/>
                <w:szCs w:val="20"/>
                <w:color w:val="auto"/>
              </w:rPr>
            </w:pPr>
            <w:r>
              <w:rPr>
                <w:rFonts w:ascii="Times New Roman" w:cs="Times New Roman" w:eastAsia="Times New Roman" w:hAnsi="Times New Roman"/>
                <w:sz w:val="16"/>
                <w:szCs w:val="16"/>
                <w:color w:val="auto"/>
              </w:rPr>
              <w:t>Operating Expenses:</w:t>
            </w:r>
          </w:p>
        </w:tc>
        <w:tc>
          <w:tcPr>
            <w:tcW w:w="17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20" w:type="dxa"/>
            <w:vAlign w:val="bottom"/>
          </w:tcPr>
          <w:p>
            <w:pPr>
              <w:spacing w:after="0"/>
              <w:rPr>
                <w:sz w:val="17"/>
                <w:szCs w:val="17"/>
                <w:color w:val="auto"/>
              </w:rPr>
            </w:pPr>
          </w:p>
        </w:tc>
        <w:tc>
          <w:tcPr>
            <w:tcW w:w="3180" w:type="dxa"/>
            <w:vAlign w:val="bottom"/>
            <w:shd w:val="clear" w:color="auto" w:fill="CFF0FC"/>
          </w:tcPr>
          <w:p>
            <w:pPr>
              <w:ind w:left="80"/>
              <w:spacing w:after="0"/>
              <w:rPr>
                <w:sz w:val="20"/>
                <w:szCs w:val="20"/>
                <w:color w:val="auto"/>
              </w:rPr>
            </w:pPr>
            <w:r>
              <w:rPr>
                <w:rFonts w:ascii="Times New Roman" w:cs="Times New Roman" w:eastAsia="Times New Roman" w:hAnsi="Times New Roman"/>
                <w:sz w:val="16"/>
                <w:szCs w:val="16"/>
                <w:color w:val="auto"/>
              </w:rPr>
              <w:t>Research and development</w:t>
            </w:r>
          </w:p>
        </w:tc>
        <w:tc>
          <w:tcPr>
            <w:tcW w:w="206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3,825</w:t>
            </w:r>
          </w:p>
        </w:tc>
        <w:tc>
          <w:tcPr>
            <w:tcW w:w="140" w:type="dxa"/>
            <w:vAlign w:val="bottom"/>
            <w:shd w:val="clear" w:color="auto" w:fill="CFF0FC"/>
          </w:tcPr>
          <w:p>
            <w:pPr>
              <w:spacing w:after="0"/>
              <w:rPr>
                <w:sz w:val="17"/>
                <w:szCs w:val="17"/>
                <w:color w:val="auto"/>
              </w:rPr>
            </w:pPr>
          </w:p>
        </w:tc>
        <w:tc>
          <w:tcPr>
            <w:tcW w:w="500" w:type="dxa"/>
            <w:vAlign w:val="bottom"/>
            <w:gridSpan w:val="2"/>
            <w:shd w:val="clear" w:color="auto" w:fill="CFF0FC"/>
          </w:tcPr>
          <w:p>
            <w:pPr>
              <w:jc w:val="right"/>
              <w:ind w:right="340"/>
              <w:spacing w:after="0"/>
              <w:rPr>
                <w:sz w:val="20"/>
                <w:szCs w:val="20"/>
                <w:color w:val="auto"/>
              </w:rPr>
            </w:pPr>
            <w:r>
              <w:rPr>
                <w:rFonts w:ascii="Times New Roman" w:cs="Times New Roman" w:eastAsia="Times New Roman" w:hAnsi="Times New Roman"/>
                <w:sz w:val="16"/>
                <w:szCs w:val="16"/>
                <w:color w:val="auto"/>
              </w:rPr>
              <w:t>$</w:t>
            </w: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5,105</w:t>
            </w:r>
          </w:p>
        </w:tc>
        <w:tc>
          <w:tcPr>
            <w:tcW w:w="160" w:type="dxa"/>
            <w:vAlign w:val="bottom"/>
            <w:shd w:val="clear" w:color="auto" w:fill="CFF0FC"/>
          </w:tcPr>
          <w:p>
            <w:pPr>
              <w:spacing w:after="0"/>
              <w:rPr>
                <w:sz w:val="17"/>
                <w:szCs w:val="17"/>
                <w:color w:val="auto"/>
              </w:rPr>
            </w:pPr>
          </w:p>
        </w:tc>
        <w:tc>
          <w:tcPr>
            <w:tcW w:w="26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17,451</w:t>
            </w:r>
          </w:p>
        </w:tc>
        <w:tc>
          <w:tcPr>
            <w:tcW w:w="120" w:type="dxa"/>
            <w:vAlign w:val="bottom"/>
            <w:shd w:val="clear" w:color="auto" w:fill="CFF0FC"/>
          </w:tcPr>
          <w:p>
            <w:pPr>
              <w:spacing w:after="0"/>
              <w:rPr>
                <w:sz w:val="17"/>
                <w:szCs w:val="17"/>
                <w:color w:val="auto"/>
              </w:rPr>
            </w:pPr>
          </w:p>
        </w:tc>
        <w:tc>
          <w:tcPr>
            <w:tcW w:w="32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22,499</w:t>
            </w:r>
          </w:p>
        </w:tc>
        <w:tc>
          <w:tcPr>
            <w:tcW w:w="80" w:type="dxa"/>
            <w:vAlign w:val="bottom"/>
            <w:shd w:val="clear" w:color="auto" w:fill="CFF0FC"/>
          </w:tcPr>
          <w:p>
            <w:pPr>
              <w:spacing w:after="0"/>
              <w:rPr>
                <w:sz w:val="17"/>
                <w:szCs w:val="17"/>
                <w:color w:val="auto"/>
              </w:rPr>
            </w:pPr>
          </w:p>
        </w:tc>
        <w:tc>
          <w:tcPr>
            <w:tcW w:w="4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20" w:type="dxa"/>
            <w:vAlign w:val="bottom"/>
          </w:tcPr>
          <w:p>
            <w:pPr>
              <w:spacing w:after="0"/>
              <w:rPr>
                <w:sz w:val="17"/>
                <w:szCs w:val="17"/>
                <w:color w:val="auto"/>
              </w:rPr>
            </w:pPr>
          </w:p>
        </w:tc>
        <w:tc>
          <w:tcPr>
            <w:tcW w:w="3180" w:type="dxa"/>
            <w:vAlign w:val="bottom"/>
          </w:tcPr>
          <w:p>
            <w:pPr>
              <w:ind w:left="80"/>
              <w:spacing w:after="0"/>
              <w:rPr>
                <w:sz w:val="20"/>
                <w:szCs w:val="20"/>
                <w:color w:val="auto"/>
              </w:rPr>
            </w:pPr>
            <w:r>
              <w:rPr>
                <w:rFonts w:ascii="Times New Roman" w:cs="Times New Roman" w:eastAsia="Times New Roman" w:hAnsi="Times New Roman"/>
                <w:sz w:val="16"/>
                <w:szCs w:val="16"/>
                <w:color w:val="auto"/>
              </w:rPr>
              <w:t>General and administrative</w:t>
            </w:r>
          </w:p>
        </w:tc>
        <w:tc>
          <w:tcPr>
            <w:tcW w:w="17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4,034</w:t>
            </w: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4,133</w:t>
            </w: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16,253</w:t>
            </w: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17,494</w:t>
            </w:r>
          </w:p>
        </w:tc>
        <w:tc>
          <w:tcPr>
            <w:tcW w:w="8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20" w:type="dxa"/>
            <w:vAlign w:val="bottom"/>
          </w:tcPr>
          <w:p>
            <w:pPr>
              <w:spacing w:after="0"/>
              <w:rPr>
                <w:sz w:val="17"/>
                <w:szCs w:val="17"/>
                <w:color w:val="auto"/>
              </w:rPr>
            </w:pPr>
          </w:p>
        </w:tc>
        <w:tc>
          <w:tcPr>
            <w:tcW w:w="3180" w:type="dxa"/>
            <w:vAlign w:val="bottom"/>
            <w:tcBorders>
              <w:bottom w:val="single" w:sz="8" w:color="CFF0FC"/>
            </w:tcBorders>
            <w:shd w:val="clear" w:color="auto" w:fill="CFF0FC"/>
          </w:tcPr>
          <w:p>
            <w:pPr>
              <w:ind w:left="80"/>
              <w:spacing w:after="0"/>
              <w:rPr>
                <w:sz w:val="20"/>
                <w:szCs w:val="20"/>
                <w:color w:val="auto"/>
              </w:rPr>
            </w:pPr>
            <w:r>
              <w:rPr>
                <w:rFonts w:ascii="Times New Roman" w:cs="Times New Roman" w:eastAsia="Times New Roman" w:hAnsi="Times New Roman"/>
                <w:sz w:val="16"/>
                <w:szCs w:val="16"/>
                <w:color w:val="auto"/>
              </w:rPr>
              <w:t>Sales and marketing</w:t>
            </w:r>
          </w:p>
        </w:tc>
        <w:tc>
          <w:tcPr>
            <w:tcW w:w="1780" w:type="dxa"/>
            <w:vAlign w:val="bottom"/>
            <w:tcBorders>
              <w:bottom w:val="single" w:sz="8" w:color="CFF0FC"/>
            </w:tcBorders>
            <w:shd w:val="clear" w:color="auto" w:fill="CFF0FC"/>
          </w:tcPr>
          <w:p>
            <w:pPr>
              <w:spacing w:after="0"/>
              <w:rPr>
                <w:sz w:val="17"/>
                <w:szCs w:val="17"/>
                <w:color w:val="auto"/>
              </w:rPr>
            </w:pPr>
          </w:p>
        </w:tc>
        <w:tc>
          <w:tcPr>
            <w:tcW w:w="280" w:type="dxa"/>
            <w:vAlign w:val="bottom"/>
            <w:tcBorders>
              <w:bottom w:val="single" w:sz="8" w:color="auto"/>
            </w:tcBorders>
            <w:shd w:val="clear" w:color="auto" w:fill="CFF0FC"/>
          </w:tcPr>
          <w:p>
            <w:pPr>
              <w:spacing w:after="0"/>
              <w:rPr>
                <w:sz w:val="17"/>
                <w:szCs w:val="17"/>
                <w:color w:val="auto"/>
              </w:rPr>
            </w:pPr>
          </w:p>
        </w:tc>
        <w:tc>
          <w:tcPr>
            <w:tcW w:w="10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2,503</w:t>
            </w:r>
          </w:p>
        </w:tc>
        <w:tc>
          <w:tcPr>
            <w:tcW w:w="140" w:type="dxa"/>
            <w:vAlign w:val="bottom"/>
            <w:tcBorders>
              <w:bottom w:val="single" w:sz="8" w:color="CFF0FC"/>
            </w:tcBorders>
            <w:shd w:val="clear" w:color="auto" w:fill="CFF0FC"/>
          </w:tcPr>
          <w:p>
            <w:pPr>
              <w:spacing w:after="0"/>
              <w:rPr>
                <w:sz w:val="17"/>
                <w:szCs w:val="17"/>
                <w:color w:val="auto"/>
              </w:rPr>
            </w:pPr>
          </w:p>
        </w:tc>
        <w:tc>
          <w:tcPr>
            <w:tcW w:w="100" w:type="dxa"/>
            <w:vAlign w:val="bottom"/>
            <w:tcBorders>
              <w:bottom w:val="single" w:sz="8" w:color="CFF0FC"/>
            </w:tcBorders>
            <w:shd w:val="clear" w:color="auto" w:fill="CFF0FC"/>
          </w:tcPr>
          <w:p>
            <w:pPr>
              <w:spacing w:after="0"/>
              <w:rPr>
                <w:sz w:val="17"/>
                <w:szCs w:val="17"/>
                <w:color w:val="auto"/>
              </w:rPr>
            </w:pPr>
          </w:p>
        </w:tc>
        <w:tc>
          <w:tcPr>
            <w:tcW w:w="400" w:type="dxa"/>
            <w:vAlign w:val="bottom"/>
            <w:tcBorders>
              <w:bottom w:val="single" w:sz="8" w:color="auto"/>
            </w:tcBorders>
            <w:shd w:val="clear" w:color="auto" w:fill="CFF0FC"/>
          </w:tcPr>
          <w:p>
            <w:pPr>
              <w:spacing w:after="0"/>
              <w:rPr>
                <w:sz w:val="17"/>
                <w:szCs w:val="17"/>
                <w:color w:val="auto"/>
              </w:rPr>
            </w:pPr>
          </w:p>
        </w:tc>
        <w:tc>
          <w:tcPr>
            <w:tcW w:w="8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2,353</w:t>
            </w:r>
          </w:p>
        </w:tc>
        <w:tc>
          <w:tcPr>
            <w:tcW w:w="160" w:type="dxa"/>
            <w:vAlign w:val="bottom"/>
            <w:tcBorders>
              <w:bottom w:val="single" w:sz="8" w:color="CFF0FC"/>
            </w:tcBorders>
            <w:shd w:val="clear" w:color="auto" w:fill="CFF0FC"/>
          </w:tcPr>
          <w:p>
            <w:pPr>
              <w:spacing w:after="0"/>
              <w:rPr>
                <w:sz w:val="17"/>
                <w:szCs w:val="17"/>
                <w:color w:val="auto"/>
              </w:rPr>
            </w:pPr>
          </w:p>
        </w:tc>
        <w:tc>
          <w:tcPr>
            <w:tcW w:w="100" w:type="dxa"/>
            <w:vAlign w:val="bottom"/>
            <w:tcBorders>
              <w:bottom w:val="single" w:sz="8" w:color="CFF0FC"/>
            </w:tcBorders>
            <w:shd w:val="clear" w:color="auto" w:fill="CFF0FC"/>
          </w:tcPr>
          <w:p>
            <w:pPr>
              <w:spacing w:after="0"/>
              <w:rPr>
                <w:sz w:val="17"/>
                <w:szCs w:val="17"/>
                <w:color w:val="auto"/>
              </w:rPr>
            </w:pPr>
          </w:p>
        </w:tc>
        <w:tc>
          <w:tcPr>
            <w:tcW w:w="160" w:type="dxa"/>
            <w:vAlign w:val="bottom"/>
            <w:tcBorders>
              <w:bottom w:val="single" w:sz="8" w:color="auto"/>
            </w:tcBorders>
            <w:shd w:val="clear" w:color="auto" w:fill="CFF0FC"/>
          </w:tcPr>
          <w:p>
            <w:pPr>
              <w:spacing w:after="0"/>
              <w:rPr>
                <w:sz w:val="17"/>
                <w:szCs w:val="17"/>
                <w:color w:val="auto"/>
              </w:rPr>
            </w:pPr>
          </w:p>
        </w:tc>
        <w:tc>
          <w:tcPr>
            <w:tcW w:w="8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10,134</w:t>
            </w:r>
          </w:p>
        </w:tc>
        <w:tc>
          <w:tcPr>
            <w:tcW w:w="120" w:type="dxa"/>
            <w:vAlign w:val="bottom"/>
            <w:tcBorders>
              <w:bottom w:val="single" w:sz="8" w:color="CFF0FC"/>
            </w:tcBorders>
            <w:shd w:val="clear" w:color="auto" w:fill="CFF0FC"/>
          </w:tcPr>
          <w:p>
            <w:pPr>
              <w:spacing w:after="0"/>
              <w:rPr>
                <w:sz w:val="17"/>
                <w:szCs w:val="17"/>
                <w:color w:val="auto"/>
              </w:rPr>
            </w:pPr>
          </w:p>
        </w:tc>
        <w:tc>
          <w:tcPr>
            <w:tcW w:w="80" w:type="dxa"/>
            <w:vAlign w:val="bottom"/>
            <w:tcBorders>
              <w:bottom w:val="single" w:sz="8" w:color="CFF0FC"/>
            </w:tcBorders>
            <w:shd w:val="clear" w:color="auto" w:fill="CFF0FC"/>
          </w:tcPr>
          <w:p>
            <w:pPr>
              <w:spacing w:after="0"/>
              <w:rPr>
                <w:sz w:val="17"/>
                <w:szCs w:val="17"/>
                <w:color w:val="auto"/>
              </w:rPr>
            </w:pPr>
          </w:p>
        </w:tc>
        <w:tc>
          <w:tcPr>
            <w:tcW w:w="240" w:type="dxa"/>
            <w:vAlign w:val="bottom"/>
            <w:tcBorders>
              <w:bottom w:val="single" w:sz="8" w:color="auto"/>
            </w:tcBorders>
            <w:shd w:val="clear" w:color="auto" w:fill="CFF0FC"/>
          </w:tcPr>
          <w:p>
            <w:pPr>
              <w:spacing w:after="0"/>
              <w:rPr>
                <w:sz w:val="17"/>
                <w:szCs w:val="17"/>
                <w:color w:val="auto"/>
              </w:rPr>
            </w:pPr>
          </w:p>
        </w:tc>
        <w:tc>
          <w:tcPr>
            <w:tcW w:w="9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9,122</w:t>
            </w:r>
          </w:p>
        </w:tc>
        <w:tc>
          <w:tcPr>
            <w:tcW w:w="80" w:type="dxa"/>
            <w:vAlign w:val="bottom"/>
            <w:tcBorders>
              <w:bottom w:val="single" w:sz="8" w:color="CFF0FC"/>
            </w:tcBorders>
            <w:shd w:val="clear" w:color="auto" w:fill="CFF0FC"/>
          </w:tcPr>
          <w:p>
            <w:pPr>
              <w:spacing w:after="0"/>
              <w:rPr>
                <w:sz w:val="17"/>
                <w:szCs w:val="17"/>
                <w:color w:val="auto"/>
              </w:rPr>
            </w:pPr>
          </w:p>
        </w:tc>
        <w:tc>
          <w:tcPr>
            <w:tcW w:w="4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420" w:type="dxa"/>
            <w:vAlign w:val="bottom"/>
          </w:tcPr>
          <w:p>
            <w:pPr>
              <w:spacing w:after="0"/>
              <w:rPr>
                <w:sz w:val="17"/>
                <w:szCs w:val="17"/>
                <w:color w:val="auto"/>
              </w:rPr>
            </w:pPr>
          </w:p>
        </w:tc>
        <w:tc>
          <w:tcPr>
            <w:tcW w:w="318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Total operating expenses</w:t>
            </w:r>
          </w:p>
        </w:tc>
        <w:tc>
          <w:tcPr>
            <w:tcW w:w="206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b w:val="1"/>
                <w:bCs w:val="1"/>
                <w:color w:val="auto"/>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10,362</w:t>
            </w:r>
          </w:p>
        </w:tc>
        <w:tc>
          <w:tcPr>
            <w:tcW w:w="140" w:type="dxa"/>
            <w:vAlign w:val="bottom"/>
          </w:tcPr>
          <w:p>
            <w:pPr>
              <w:spacing w:after="0"/>
              <w:rPr>
                <w:sz w:val="17"/>
                <w:szCs w:val="17"/>
                <w:color w:val="auto"/>
              </w:rPr>
            </w:pPr>
          </w:p>
        </w:tc>
        <w:tc>
          <w:tcPr>
            <w:tcW w:w="500" w:type="dxa"/>
            <w:vAlign w:val="bottom"/>
            <w:gridSpan w:val="2"/>
          </w:tcPr>
          <w:p>
            <w:pPr>
              <w:jc w:val="right"/>
              <w:ind w:right="340"/>
              <w:spacing w:after="0"/>
              <w:rPr>
                <w:sz w:val="20"/>
                <w:szCs w:val="20"/>
                <w:color w:val="auto"/>
              </w:rPr>
            </w:pPr>
            <w:r>
              <w:rPr>
                <w:rFonts w:ascii="Times New Roman" w:cs="Times New Roman" w:eastAsia="Times New Roman" w:hAnsi="Times New Roman"/>
                <w:sz w:val="16"/>
                <w:szCs w:val="16"/>
                <w:b w:val="1"/>
                <w:bCs w:val="1"/>
                <w:color w:val="auto"/>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11,591</w:t>
            </w:r>
          </w:p>
        </w:tc>
        <w:tc>
          <w:tcPr>
            <w:tcW w:w="160" w:type="dxa"/>
            <w:vAlign w:val="bottom"/>
          </w:tcPr>
          <w:p>
            <w:pPr>
              <w:spacing w:after="0"/>
              <w:rPr>
                <w:sz w:val="17"/>
                <w:szCs w:val="17"/>
                <w:color w:val="auto"/>
              </w:rPr>
            </w:pPr>
          </w:p>
        </w:tc>
        <w:tc>
          <w:tcPr>
            <w:tcW w:w="26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b w:val="1"/>
                <w:bCs w:val="1"/>
                <w:color w:val="auto"/>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43,838</w:t>
            </w:r>
          </w:p>
        </w:tc>
        <w:tc>
          <w:tcPr>
            <w:tcW w:w="120" w:type="dxa"/>
            <w:vAlign w:val="bottom"/>
          </w:tcPr>
          <w:p>
            <w:pPr>
              <w:spacing w:after="0"/>
              <w:rPr>
                <w:sz w:val="17"/>
                <w:szCs w:val="17"/>
                <w:color w:val="auto"/>
              </w:rPr>
            </w:pPr>
          </w:p>
        </w:tc>
        <w:tc>
          <w:tcPr>
            <w:tcW w:w="32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b w:val="1"/>
                <w:bCs w:val="1"/>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49,115</w:t>
            </w:r>
          </w:p>
        </w:tc>
        <w:tc>
          <w:tcPr>
            <w:tcW w:w="8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420" w:type="dxa"/>
            <w:vAlign w:val="bottom"/>
            <w:vMerge w:val="restart"/>
          </w:tcPr>
          <w:p>
            <w:pPr>
              <w:spacing w:after="0" w:line="20" w:lineRule="exact"/>
              <w:rPr>
                <w:sz w:val="1"/>
                <w:szCs w:val="1"/>
                <w:color w:val="auto"/>
              </w:rPr>
            </w:pPr>
          </w:p>
        </w:tc>
        <w:tc>
          <w:tcPr>
            <w:tcW w:w="3180" w:type="dxa"/>
            <w:vAlign w:val="bottom"/>
          </w:tcPr>
          <w:p>
            <w:pPr>
              <w:spacing w:after="0" w:line="20" w:lineRule="exact"/>
              <w:rPr>
                <w:sz w:val="1"/>
                <w:szCs w:val="1"/>
                <w:color w:val="auto"/>
              </w:rPr>
            </w:pPr>
          </w:p>
        </w:tc>
        <w:tc>
          <w:tcPr>
            <w:tcW w:w="178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420" w:type="dxa"/>
            <w:vAlign w:val="bottom"/>
            <w:vMerge w:val="continue"/>
          </w:tcPr>
          <w:p>
            <w:pPr>
              <w:spacing w:after="0"/>
              <w:rPr>
                <w:sz w:val="17"/>
                <w:szCs w:val="17"/>
                <w:color w:val="auto"/>
              </w:rPr>
            </w:pPr>
          </w:p>
        </w:tc>
        <w:tc>
          <w:tcPr>
            <w:tcW w:w="318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b w:val="1"/>
                <w:bCs w:val="1"/>
                <w:color w:val="auto"/>
              </w:rPr>
              <w:t>Loss from operations</w:t>
            </w:r>
          </w:p>
        </w:tc>
        <w:tc>
          <w:tcPr>
            <w:tcW w:w="206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6"/>
                <w:szCs w:val="16"/>
                <w:b w:val="1"/>
                <w:bCs w:val="1"/>
                <w:color w:val="auto"/>
              </w:rPr>
              <w:t>$</w:t>
            </w:r>
          </w:p>
        </w:tc>
        <w:tc>
          <w:tcPr>
            <w:tcW w:w="118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6"/>
                <w:szCs w:val="16"/>
                <w:b w:val="1"/>
                <w:bCs w:val="1"/>
                <w:color w:val="auto"/>
              </w:rPr>
              <w:t>(7,668)</w:t>
            </w:r>
          </w:p>
        </w:tc>
        <w:tc>
          <w:tcPr>
            <w:tcW w:w="500" w:type="dxa"/>
            <w:vAlign w:val="bottom"/>
            <w:gridSpan w:val="2"/>
            <w:shd w:val="clear" w:color="auto" w:fill="CFF0FC"/>
          </w:tcPr>
          <w:p>
            <w:pPr>
              <w:jc w:val="right"/>
              <w:ind w:right="340"/>
              <w:spacing w:after="0"/>
              <w:rPr>
                <w:sz w:val="20"/>
                <w:szCs w:val="20"/>
                <w:color w:val="auto"/>
              </w:rPr>
            </w:pPr>
            <w:r>
              <w:rPr>
                <w:rFonts w:ascii="Times New Roman" w:cs="Times New Roman" w:eastAsia="Times New Roman" w:hAnsi="Times New Roman"/>
                <w:sz w:val="16"/>
                <w:szCs w:val="16"/>
                <w:b w:val="1"/>
                <w:bCs w:val="1"/>
                <w:color w:val="auto"/>
              </w:rPr>
              <w:t>$</w:t>
            </w:r>
          </w:p>
        </w:tc>
        <w:tc>
          <w:tcPr>
            <w:tcW w:w="96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6"/>
                <w:szCs w:val="16"/>
                <w:b w:val="1"/>
                <w:bCs w:val="1"/>
                <w:color w:val="auto"/>
              </w:rPr>
              <w:t>(10,765)</w:t>
            </w:r>
          </w:p>
        </w:tc>
        <w:tc>
          <w:tcPr>
            <w:tcW w:w="26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6"/>
                <w:szCs w:val="16"/>
                <w:b w:val="1"/>
                <w:bCs w:val="1"/>
                <w:color w:val="auto"/>
              </w:rPr>
              <w:t>$</w:t>
            </w:r>
          </w:p>
        </w:tc>
        <w:tc>
          <w:tcPr>
            <w:tcW w:w="96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6"/>
                <w:szCs w:val="16"/>
                <w:b w:val="1"/>
                <w:bCs w:val="1"/>
                <w:color w:val="auto"/>
              </w:rPr>
              <w:t>(37,085)</w:t>
            </w:r>
          </w:p>
        </w:tc>
        <w:tc>
          <w:tcPr>
            <w:tcW w:w="32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6"/>
                <w:szCs w:val="16"/>
                <w:b w:val="1"/>
                <w:bCs w:val="1"/>
                <w:color w:val="auto"/>
              </w:rPr>
              <w:t>$</w:t>
            </w:r>
          </w:p>
        </w:tc>
        <w:tc>
          <w:tcPr>
            <w:tcW w:w="100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6"/>
                <w:szCs w:val="16"/>
                <w:b w:val="1"/>
                <w:bCs w:val="1"/>
                <w:color w:val="auto"/>
              </w:rPr>
              <w:t>(43,224)</w:t>
            </w:r>
          </w:p>
        </w:tc>
        <w:tc>
          <w:tcPr>
            <w:tcW w:w="4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20" w:type="dxa"/>
            <w:vAlign w:val="bottom"/>
          </w:tcPr>
          <w:p>
            <w:pPr>
              <w:spacing w:after="0"/>
              <w:rPr>
                <w:sz w:val="17"/>
                <w:szCs w:val="17"/>
                <w:color w:val="auto"/>
              </w:rPr>
            </w:pPr>
          </w:p>
        </w:tc>
        <w:tc>
          <w:tcPr>
            <w:tcW w:w="3180" w:type="dxa"/>
            <w:vAlign w:val="bottom"/>
          </w:tcPr>
          <w:p>
            <w:pPr>
              <w:ind w:left="80"/>
              <w:spacing w:after="0"/>
              <w:rPr>
                <w:sz w:val="20"/>
                <w:szCs w:val="20"/>
                <w:color w:val="auto"/>
              </w:rPr>
            </w:pPr>
            <w:r>
              <w:rPr>
                <w:rFonts w:ascii="Times New Roman" w:cs="Times New Roman" w:eastAsia="Times New Roman" w:hAnsi="Times New Roman"/>
                <w:sz w:val="16"/>
                <w:szCs w:val="16"/>
                <w:color w:val="auto"/>
              </w:rPr>
              <w:t>Interest income</w:t>
            </w:r>
          </w:p>
        </w:tc>
        <w:tc>
          <w:tcPr>
            <w:tcW w:w="206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280</w:t>
            </w:r>
          </w:p>
        </w:tc>
        <w:tc>
          <w:tcPr>
            <w:tcW w:w="140" w:type="dxa"/>
            <w:vAlign w:val="bottom"/>
          </w:tcPr>
          <w:p>
            <w:pPr>
              <w:spacing w:after="0"/>
              <w:rPr>
                <w:sz w:val="17"/>
                <w:szCs w:val="17"/>
                <w:color w:val="auto"/>
              </w:rPr>
            </w:pPr>
          </w:p>
        </w:tc>
        <w:tc>
          <w:tcPr>
            <w:tcW w:w="500" w:type="dxa"/>
            <w:vAlign w:val="bottom"/>
            <w:gridSpan w:val="2"/>
          </w:tcPr>
          <w:p>
            <w:pPr>
              <w:jc w:val="right"/>
              <w:ind w:right="340"/>
              <w:spacing w:after="0"/>
              <w:rPr>
                <w:sz w:val="20"/>
                <w:szCs w:val="20"/>
                <w:color w:val="auto"/>
              </w:rPr>
            </w:pPr>
            <w:r>
              <w:rPr>
                <w:rFonts w:ascii="Times New Roman" w:cs="Times New Roman" w:eastAsia="Times New Roman" w:hAnsi="Times New Roman"/>
                <w:sz w:val="16"/>
                <w:szCs w:val="16"/>
                <w:color w:val="auto"/>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436</w:t>
            </w:r>
          </w:p>
        </w:tc>
        <w:tc>
          <w:tcPr>
            <w:tcW w:w="160" w:type="dxa"/>
            <w:vAlign w:val="bottom"/>
          </w:tcPr>
          <w:p>
            <w:pPr>
              <w:spacing w:after="0"/>
              <w:rPr>
                <w:sz w:val="17"/>
                <w:szCs w:val="17"/>
                <w:color w:val="auto"/>
              </w:rPr>
            </w:pPr>
          </w:p>
        </w:tc>
        <w:tc>
          <w:tcPr>
            <w:tcW w:w="26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1,023</w:t>
            </w:r>
          </w:p>
        </w:tc>
        <w:tc>
          <w:tcPr>
            <w:tcW w:w="120" w:type="dxa"/>
            <w:vAlign w:val="bottom"/>
          </w:tcPr>
          <w:p>
            <w:pPr>
              <w:spacing w:after="0"/>
              <w:rPr>
                <w:sz w:val="17"/>
                <w:szCs w:val="17"/>
                <w:color w:val="auto"/>
              </w:rPr>
            </w:pPr>
          </w:p>
        </w:tc>
        <w:tc>
          <w:tcPr>
            <w:tcW w:w="32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2,492</w:t>
            </w:r>
          </w:p>
        </w:tc>
        <w:tc>
          <w:tcPr>
            <w:tcW w:w="8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20" w:type="dxa"/>
            <w:vAlign w:val="bottom"/>
          </w:tcPr>
          <w:p>
            <w:pPr>
              <w:spacing w:after="0"/>
              <w:rPr>
                <w:sz w:val="17"/>
                <w:szCs w:val="17"/>
                <w:color w:val="auto"/>
              </w:rPr>
            </w:pPr>
          </w:p>
        </w:tc>
        <w:tc>
          <w:tcPr>
            <w:tcW w:w="3180" w:type="dxa"/>
            <w:vAlign w:val="bottom"/>
            <w:shd w:val="clear" w:color="auto" w:fill="CFF0FC"/>
          </w:tcPr>
          <w:p>
            <w:pPr>
              <w:ind w:left="80"/>
              <w:spacing w:after="0"/>
              <w:rPr>
                <w:sz w:val="20"/>
                <w:szCs w:val="20"/>
                <w:color w:val="auto"/>
              </w:rPr>
            </w:pPr>
            <w:r>
              <w:rPr>
                <w:rFonts w:ascii="Times New Roman" w:cs="Times New Roman" w:eastAsia="Times New Roman" w:hAnsi="Times New Roman"/>
                <w:sz w:val="16"/>
                <w:szCs w:val="16"/>
                <w:color w:val="auto"/>
              </w:rPr>
              <w:t>Change in fair value of warrant liabilities</w:t>
            </w:r>
          </w:p>
        </w:tc>
        <w:tc>
          <w:tcPr>
            <w:tcW w:w="1780" w:type="dxa"/>
            <w:vAlign w:val="bottom"/>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1,464</w:t>
            </w:r>
          </w:p>
        </w:tc>
        <w:tc>
          <w:tcPr>
            <w:tcW w:w="14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400" w:type="dxa"/>
            <w:vAlign w:val="bottom"/>
            <w:shd w:val="clear" w:color="auto" w:fill="CFF0FC"/>
          </w:tcPr>
          <w:p>
            <w:pPr>
              <w:spacing w:after="0"/>
              <w:rPr>
                <w:sz w:val="17"/>
                <w:szCs w:val="17"/>
                <w:color w:val="auto"/>
              </w:rPr>
            </w:pPr>
          </w:p>
        </w:tc>
        <w:tc>
          <w:tcPr>
            <w:tcW w:w="96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825</w:t>
            </w:r>
          </w:p>
        </w:tc>
        <w:tc>
          <w:tcPr>
            <w:tcW w:w="12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100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4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20" w:type="dxa"/>
            <w:vAlign w:val="bottom"/>
          </w:tcPr>
          <w:p>
            <w:pPr>
              <w:spacing w:after="0"/>
              <w:rPr>
                <w:sz w:val="17"/>
                <w:szCs w:val="17"/>
                <w:color w:val="auto"/>
              </w:rPr>
            </w:pPr>
          </w:p>
        </w:tc>
        <w:tc>
          <w:tcPr>
            <w:tcW w:w="3180" w:type="dxa"/>
            <w:vAlign w:val="bottom"/>
          </w:tcPr>
          <w:p>
            <w:pPr>
              <w:ind w:left="80"/>
              <w:spacing w:after="0"/>
              <w:rPr>
                <w:sz w:val="20"/>
                <w:szCs w:val="20"/>
                <w:color w:val="auto"/>
              </w:rPr>
            </w:pPr>
            <w:r>
              <w:rPr>
                <w:rFonts w:ascii="Times New Roman" w:cs="Times New Roman" w:eastAsia="Times New Roman" w:hAnsi="Times New Roman"/>
                <w:sz w:val="16"/>
                <w:szCs w:val="16"/>
                <w:color w:val="auto"/>
              </w:rPr>
              <w:t>Other income (expense), net</w:t>
            </w:r>
          </w:p>
        </w:tc>
        <w:tc>
          <w:tcPr>
            <w:tcW w:w="17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w:t>
            </w: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96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(61)</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60" w:type="dxa"/>
            <w:vAlign w:val="bottom"/>
            <w:gridSpan w:val="2"/>
          </w:tcPr>
          <w:p>
            <w:pPr>
              <w:jc w:val="right"/>
              <w:ind w:right="80"/>
              <w:spacing w:after="0"/>
              <w:rPr>
                <w:sz w:val="20"/>
                <w:szCs w:val="20"/>
                <w:color w:val="auto"/>
              </w:rPr>
            </w:pPr>
            <w:r>
              <w:rPr>
                <w:rFonts w:ascii="Times New Roman" w:cs="Times New Roman" w:eastAsia="Times New Roman" w:hAnsi="Times New Roman"/>
                <w:sz w:val="16"/>
                <w:szCs w:val="16"/>
                <w:color w:val="auto"/>
              </w:rPr>
              <w:t>(337)</w:t>
            </w:r>
          </w:p>
        </w:tc>
        <w:tc>
          <w:tcPr>
            <w:tcW w:w="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w:t>
            </w:r>
          </w:p>
        </w:tc>
        <w:tc>
          <w:tcPr>
            <w:tcW w:w="8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420" w:type="dxa"/>
            <w:vAlign w:val="bottom"/>
            <w:vMerge w:val="restart"/>
          </w:tcPr>
          <w:p>
            <w:pPr>
              <w:spacing w:after="0" w:line="20" w:lineRule="exact"/>
              <w:rPr>
                <w:sz w:val="1"/>
                <w:szCs w:val="1"/>
                <w:color w:val="auto"/>
              </w:rPr>
            </w:pPr>
          </w:p>
        </w:tc>
        <w:tc>
          <w:tcPr>
            <w:tcW w:w="3180" w:type="dxa"/>
            <w:vAlign w:val="bottom"/>
          </w:tcPr>
          <w:p>
            <w:pPr>
              <w:spacing w:after="0" w:line="20" w:lineRule="exact"/>
              <w:rPr>
                <w:sz w:val="1"/>
                <w:szCs w:val="1"/>
                <w:color w:val="auto"/>
              </w:rPr>
            </w:pPr>
          </w:p>
        </w:tc>
        <w:tc>
          <w:tcPr>
            <w:tcW w:w="178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420" w:type="dxa"/>
            <w:vAlign w:val="bottom"/>
            <w:vMerge w:val="continue"/>
          </w:tcPr>
          <w:p>
            <w:pPr>
              <w:spacing w:after="0"/>
              <w:rPr>
                <w:sz w:val="17"/>
                <w:szCs w:val="17"/>
                <w:color w:val="auto"/>
              </w:rPr>
            </w:pPr>
          </w:p>
        </w:tc>
        <w:tc>
          <w:tcPr>
            <w:tcW w:w="318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b w:val="1"/>
                <w:bCs w:val="1"/>
                <w:color w:val="auto"/>
              </w:rPr>
              <w:t>Loss before provision for income taxes</w:t>
            </w:r>
          </w:p>
        </w:tc>
        <w:tc>
          <w:tcPr>
            <w:tcW w:w="206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6"/>
                <w:szCs w:val="16"/>
                <w:b w:val="1"/>
                <w:bCs w:val="1"/>
                <w:color w:val="auto"/>
              </w:rPr>
              <w:t>$</w:t>
            </w:r>
          </w:p>
        </w:tc>
        <w:tc>
          <w:tcPr>
            <w:tcW w:w="118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6"/>
                <w:szCs w:val="16"/>
                <w:b w:val="1"/>
                <w:bCs w:val="1"/>
                <w:color w:val="auto"/>
              </w:rPr>
              <w:t>(5,912)</w:t>
            </w:r>
          </w:p>
        </w:tc>
        <w:tc>
          <w:tcPr>
            <w:tcW w:w="500" w:type="dxa"/>
            <w:vAlign w:val="bottom"/>
            <w:gridSpan w:val="2"/>
            <w:shd w:val="clear" w:color="auto" w:fill="CFF0FC"/>
          </w:tcPr>
          <w:p>
            <w:pPr>
              <w:jc w:val="right"/>
              <w:ind w:right="340"/>
              <w:spacing w:after="0"/>
              <w:rPr>
                <w:sz w:val="20"/>
                <w:szCs w:val="20"/>
                <w:color w:val="auto"/>
              </w:rPr>
            </w:pPr>
            <w:r>
              <w:rPr>
                <w:rFonts w:ascii="Times New Roman" w:cs="Times New Roman" w:eastAsia="Times New Roman" w:hAnsi="Times New Roman"/>
                <w:sz w:val="16"/>
                <w:szCs w:val="16"/>
                <w:b w:val="1"/>
                <w:bCs w:val="1"/>
                <w:color w:val="auto"/>
              </w:rPr>
              <w:t>$</w:t>
            </w:r>
          </w:p>
        </w:tc>
        <w:tc>
          <w:tcPr>
            <w:tcW w:w="96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6"/>
                <w:szCs w:val="16"/>
                <w:b w:val="1"/>
                <w:bCs w:val="1"/>
                <w:color w:val="auto"/>
              </w:rPr>
              <w:t>(10,390)</w:t>
            </w:r>
          </w:p>
        </w:tc>
        <w:tc>
          <w:tcPr>
            <w:tcW w:w="26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6"/>
                <w:szCs w:val="16"/>
                <w:b w:val="1"/>
                <w:bCs w:val="1"/>
                <w:color w:val="auto"/>
              </w:rPr>
              <w:t>$</w:t>
            </w:r>
          </w:p>
        </w:tc>
        <w:tc>
          <w:tcPr>
            <w:tcW w:w="96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6"/>
                <w:szCs w:val="16"/>
                <w:b w:val="1"/>
                <w:bCs w:val="1"/>
                <w:color w:val="auto"/>
              </w:rPr>
              <w:t>(35,574)</w:t>
            </w:r>
          </w:p>
        </w:tc>
        <w:tc>
          <w:tcPr>
            <w:tcW w:w="32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6"/>
                <w:szCs w:val="16"/>
                <w:b w:val="1"/>
                <w:bCs w:val="1"/>
                <w:color w:val="auto"/>
              </w:rPr>
              <w:t>$</w:t>
            </w:r>
          </w:p>
        </w:tc>
        <w:tc>
          <w:tcPr>
            <w:tcW w:w="100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6"/>
                <w:szCs w:val="16"/>
                <w:b w:val="1"/>
                <w:bCs w:val="1"/>
                <w:color w:val="auto"/>
              </w:rPr>
              <w:t>(40,720)</w:t>
            </w:r>
          </w:p>
        </w:tc>
        <w:tc>
          <w:tcPr>
            <w:tcW w:w="4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20" w:type="dxa"/>
            <w:vAlign w:val="bottom"/>
          </w:tcPr>
          <w:p>
            <w:pPr>
              <w:spacing w:after="0"/>
              <w:rPr>
                <w:sz w:val="17"/>
                <w:szCs w:val="17"/>
                <w:color w:val="auto"/>
              </w:rPr>
            </w:pPr>
          </w:p>
        </w:tc>
        <w:tc>
          <w:tcPr>
            <w:tcW w:w="3180" w:type="dxa"/>
            <w:vAlign w:val="bottom"/>
          </w:tcPr>
          <w:p>
            <w:pPr>
              <w:spacing w:after="0"/>
              <w:rPr>
                <w:sz w:val="20"/>
                <w:szCs w:val="20"/>
                <w:color w:val="auto"/>
              </w:rPr>
            </w:pPr>
            <w:r>
              <w:rPr>
                <w:rFonts w:ascii="Times New Roman" w:cs="Times New Roman" w:eastAsia="Times New Roman" w:hAnsi="Times New Roman"/>
                <w:sz w:val="16"/>
                <w:szCs w:val="16"/>
                <w:color w:val="auto"/>
              </w:rPr>
              <w:t>Provision for income taxes</w:t>
            </w:r>
          </w:p>
        </w:tc>
        <w:tc>
          <w:tcPr>
            <w:tcW w:w="1780" w:type="dxa"/>
            <w:vAlign w:val="bottom"/>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6"/>
        </w:trPr>
        <w:tc>
          <w:tcPr>
            <w:tcW w:w="420" w:type="dxa"/>
            <w:vAlign w:val="bottom"/>
          </w:tcPr>
          <w:p>
            <w:pPr>
              <w:spacing w:after="0"/>
              <w:rPr>
                <w:sz w:val="20"/>
                <w:szCs w:val="20"/>
                <w:color w:val="auto"/>
              </w:rPr>
            </w:pPr>
          </w:p>
        </w:tc>
        <w:tc>
          <w:tcPr>
            <w:tcW w:w="318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b w:val="1"/>
                <w:bCs w:val="1"/>
                <w:color w:val="auto"/>
              </w:rPr>
              <w:t>Net loss and comprehensive loss</w:t>
            </w:r>
          </w:p>
        </w:tc>
        <w:tc>
          <w:tcPr>
            <w:tcW w:w="206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6"/>
                <w:szCs w:val="16"/>
                <w:b w:val="1"/>
                <w:bCs w:val="1"/>
                <w:color w:val="auto"/>
              </w:rPr>
              <w:t>$</w:t>
            </w:r>
          </w:p>
        </w:tc>
        <w:tc>
          <w:tcPr>
            <w:tcW w:w="118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6"/>
                <w:szCs w:val="16"/>
                <w:b w:val="1"/>
                <w:bCs w:val="1"/>
                <w:color w:val="auto"/>
              </w:rPr>
              <w:t>(5,912)</w:t>
            </w:r>
          </w:p>
        </w:tc>
        <w:tc>
          <w:tcPr>
            <w:tcW w:w="500" w:type="dxa"/>
            <w:vAlign w:val="bottom"/>
            <w:gridSpan w:val="2"/>
            <w:shd w:val="clear" w:color="auto" w:fill="CFF0FC"/>
          </w:tcPr>
          <w:p>
            <w:pPr>
              <w:jc w:val="right"/>
              <w:ind w:right="340"/>
              <w:spacing w:after="0"/>
              <w:rPr>
                <w:sz w:val="20"/>
                <w:szCs w:val="20"/>
                <w:color w:val="auto"/>
              </w:rPr>
            </w:pPr>
            <w:r>
              <w:rPr>
                <w:rFonts w:ascii="Times New Roman" w:cs="Times New Roman" w:eastAsia="Times New Roman" w:hAnsi="Times New Roman"/>
                <w:sz w:val="16"/>
                <w:szCs w:val="16"/>
                <w:b w:val="1"/>
                <w:bCs w:val="1"/>
                <w:color w:val="auto"/>
              </w:rPr>
              <w:t>$</w:t>
            </w:r>
          </w:p>
        </w:tc>
        <w:tc>
          <w:tcPr>
            <w:tcW w:w="96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6"/>
                <w:szCs w:val="16"/>
                <w:b w:val="1"/>
                <w:bCs w:val="1"/>
                <w:color w:val="auto"/>
              </w:rPr>
              <w:t>(10,390)</w:t>
            </w:r>
          </w:p>
        </w:tc>
        <w:tc>
          <w:tcPr>
            <w:tcW w:w="26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6"/>
                <w:szCs w:val="16"/>
                <w:b w:val="1"/>
                <w:bCs w:val="1"/>
                <w:color w:val="auto"/>
              </w:rPr>
              <w:t>$</w:t>
            </w:r>
          </w:p>
        </w:tc>
        <w:tc>
          <w:tcPr>
            <w:tcW w:w="96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6"/>
                <w:szCs w:val="16"/>
                <w:b w:val="1"/>
                <w:bCs w:val="1"/>
                <w:color w:val="auto"/>
              </w:rPr>
              <w:t>(35,574)</w:t>
            </w:r>
          </w:p>
        </w:tc>
        <w:tc>
          <w:tcPr>
            <w:tcW w:w="32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6"/>
                <w:szCs w:val="16"/>
                <w:b w:val="1"/>
                <w:bCs w:val="1"/>
                <w:color w:val="auto"/>
              </w:rPr>
              <w:t>$</w:t>
            </w:r>
          </w:p>
        </w:tc>
        <w:tc>
          <w:tcPr>
            <w:tcW w:w="100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6"/>
                <w:szCs w:val="16"/>
                <w:b w:val="1"/>
                <w:bCs w:val="1"/>
                <w:color w:val="auto"/>
              </w:rPr>
              <w:t>(40,720)</w:t>
            </w:r>
          </w:p>
        </w:tc>
        <w:tc>
          <w:tcPr>
            <w:tcW w:w="4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69"/>
        </w:trPr>
        <w:tc>
          <w:tcPr>
            <w:tcW w:w="420" w:type="dxa"/>
            <w:vAlign w:val="bottom"/>
          </w:tcPr>
          <w:p>
            <w:pPr>
              <w:spacing w:after="0"/>
              <w:rPr>
                <w:sz w:val="14"/>
                <w:szCs w:val="14"/>
                <w:color w:val="auto"/>
              </w:rPr>
            </w:pPr>
          </w:p>
        </w:tc>
        <w:tc>
          <w:tcPr>
            <w:tcW w:w="4960" w:type="dxa"/>
            <w:vAlign w:val="bottom"/>
            <w:tcBorders>
              <w:top w:val="single" w:sz="8" w:color="CFF0FC"/>
            </w:tcBorders>
            <w:gridSpan w:val="2"/>
          </w:tcPr>
          <w:p>
            <w:pPr>
              <w:ind w:left="80"/>
              <w:spacing w:after="0" w:line="169" w:lineRule="exact"/>
              <w:rPr>
                <w:sz w:val="20"/>
                <w:szCs w:val="20"/>
                <w:color w:val="auto"/>
              </w:rPr>
            </w:pPr>
            <w:r>
              <w:rPr>
                <w:rFonts w:ascii="Times New Roman" w:cs="Times New Roman" w:eastAsia="Times New Roman" w:hAnsi="Times New Roman"/>
                <w:sz w:val="16"/>
                <w:szCs w:val="16"/>
                <w:color w:val="auto"/>
              </w:rPr>
              <w:t>Net loss per common share attributable to common stockholders, basic</w:t>
            </w:r>
          </w:p>
        </w:tc>
        <w:tc>
          <w:tcPr>
            <w:tcW w:w="280" w:type="dxa"/>
            <w:vAlign w:val="bottom"/>
            <w:tcBorders>
              <w:top w:val="single" w:sz="8" w:color="auto"/>
            </w:tcBorders>
          </w:tcPr>
          <w:p>
            <w:pPr>
              <w:spacing w:after="0"/>
              <w:rPr>
                <w:sz w:val="14"/>
                <w:szCs w:val="14"/>
                <w:color w:val="auto"/>
              </w:rPr>
            </w:pPr>
          </w:p>
        </w:tc>
        <w:tc>
          <w:tcPr>
            <w:tcW w:w="1040" w:type="dxa"/>
            <w:vAlign w:val="bottom"/>
            <w:tcBorders>
              <w:top w:val="single" w:sz="8" w:color="auto"/>
            </w:tcBorders>
          </w:tcPr>
          <w:p>
            <w:pPr>
              <w:spacing w:after="0"/>
              <w:rPr>
                <w:sz w:val="14"/>
                <w:szCs w:val="14"/>
                <w:color w:val="auto"/>
              </w:rPr>
            </w:pPr>
          </w:p>
        </w:tc>
        <w:tc>
          <w:tcPr>
            <w:tcW w:w="140" w:type="dxa"/>
            <w:vAlign w:val="bottom"/>
            <w:tcBorders>
              <w:top w:val="single" w:sz="8" w:color="CFF0FC"/>
            </w:tcBorders>
          </w:tcPr>
          <w:p>
            <w:pPr>
              <w:spacing w:after="0"/>
              <w:rPr>
                <w:sz w:val="14"/>
                <w:szCs w:val="14"/>
                <w:color w:val="auto"/>
              </w:rPr>
            </w:pPr>
          </w:p>
        </w:tc>
        <w:tc>
          <w:tcPr>
            <w:tcW w:w="100" w:type="dxa"/>
            <w:vAlign w:val="bottom"/>
            <w:tcBorders>
              <w:top w:val="single" w:sz="8" w:color="CFF0FC"/>
            </w:tcBorders>
          </w:tcPr>
          <w:p>
            <w:pPr>
              <w:spacing w:after="0"/>
              <w:rPr>
                <w:sz w:val="14"/>
                <w:szCs w:val="14"/>
                <w:color w:val="auto"/>
              </w:rPr>
            </w:pPr>
          </w:p>
        </w:tc>
        <w:tc>
          <w:tcPr>
            <w:tcW w:w="400" w:type="dxa"/>
            <w:vAlign w:val="bottom"/>
            <w:tcBorders>
              <w:top w:val="single" w:sz="8" w:color="auto"/>
            </w:tcBorders>
          </w:tcPr>
          <w:p>
            <w:pPr>
              <w:spacing w:after="0"/>
              <w:rPr>
                <w:sz w:val="14"/>
                <w:szCs w:val="14"/>
                <w:color w:val="auto"/>
              </w:rPr>
            </w:pPr>
          </w:p>
        </w:tc>
        <w:tc>
          <w:tcPr>
            <w:tcW w:w="800" w:type="dxa"/>
            <w:vAlign w:val="bottom"/>
            <w:tcBorders>
              <w:top w:val="single" w:sz="8" w:color="auto"/>
            </w:tcBorders>
          </w:tcPr>
          <w:p>
            <w:pPr>
              <w:spacing w:after="0"/>
              <w:rPr>
                <w:sz w:val="14"/>
                <w:szCs w:val="14"/>
                <w:color w:val="auto"/>
              </w:rPr>
            </w:pPr>
          </w:p>
        </w:tc>
        <w:tc>
          <w:tcPr>
            <w:tcW w:w="160" w:type="dxa"/>
            <w:vAlign w:val="bottom"/>
            <w:tcBorders>
              <w:top w:val="single" w:sz="8" w:color="CFF0FC"/>
            </w:tcBorders>
          </w:tcPr>
          <w:p>
            <w:pPr>
              <w:spacing w:after="0"/>
              <w:rPr>
                <w:sz w:val="14"/>
                <w:szCs w:val="14"/>
                <w:color w:val="auto"/>
              </w:rPr>
            </w:pPr>
          </w:p>
        </w:tc>
        <w:tc>
          <w:tcPr>
            <w:tcW w:w="100" w:type="dxa"/>
            <w:vAlign w:val="bottom"/>
            <w:tcBorders>
              <w:top w:val="single" w:sz="8" w:color="CFF0FC"/>
            </w:tcBorders>
          </w:tcPr>
          <w:p>
            <w:pPr>
              <w:spacing w:after="0"/>
              <w:rPr>
                <w:sz w:val="14"/>
                <w:szCs w:val="14"/>
                <w:color w:val="auto"/>
              </w:rPr>
            </w:pPr>
          </w:p>
        </w:tc>
        <w:tc>
          <w:tcPr>
            <w:tcW w:w="160" w:type="dxa"/>
            <w:vAlign w:val="bottom"/>
            <w:tcBorders>
              <w:top w:val="single" w:sz="8" w:color="auto"/>
            </w:tcBorders>
          </w:tcPr>
          <w:p>
            <w:pPr>
              <w:spacing w:after="0"/>
              <w:rPr>
                <w:sz w:val="14"/>
                <w:szCs w:val="14"/>
                <w:color w:val="auto"/>
              </w:rPr>
            </w:pPr>
          </w:p>
        </w:tc>
        <w:tc>
          <w:tcPr>
            <w:tcW w:w="840" w:type="dxa"/>
            <w:vAlign w:val="bottom"/>
            <w:tcBorders>
              <w:top w:val="single" w:sz="8" w:color="auto"/>
            </w:tcBorders>
          </w:tcPr>
          <w:p>
            <w:pPr>
              <w:spacing w:after="0"/>
              <w:rPr>
                <w:sz w:val="14"/>
                <w:szCs w:val="14"/>
                <w:color w:val="auto"/>
              </w:rPr>
            </w:pPr>
          </w:p>
        </w:tc>
        <w:tc>
          <w:tcPr>
            <w:tcW w:w="120" w:type="dxa"/>
            <w:vAlign w:val="bottom"/>
            <w:tcBorders>
              <w:top w:val="single" w:sz="8" w:color="CFF0FC"/>
            </w:tcBorders>
          </w:tcPr>
          <w:p>
            <w:pPr>
              <w:spacing w:after="0"/>
              <w:rPr>
                <w:sz w:val="14"/>
                <w:szCs w:val="14"/>
                <w:color w:val="auto"/>
              </w:rPr>
            </w:pPr>
          </w:p>
        </w:tc>
        <w:tc>
          <w:tcPr>
            <w:tcW w:w="80" w:type="dxa"/>
            <w:vAlign w:val="bottom"/>
            <w:tcBorders>
              <w:top w:val="single" w:sz="8" w:color="CFF0FC"/>
            </w:tcBorders>
          </w:tcPr>
          <w:p>
            <w:pPr>
              <w:spacing w:after="0"/>
              <w:rPr>
                <w:sz w:val="14"/>
                <w:szCs w:val="14"/>
                <w:color w:val="auto"/>
              </w:rPr>
            </w:pPr>
          </w:p>
        </w:tc>
        <w:tc>
          <w:tcPr>
            <w:tcW w:w="240" w:type="dxa"/>
            <w:vAlign w:val="bottom"/>
            <w:tcBorders>
              <w:top w:val="single" w:sz="8" w:color="auto"/>
            </w:tcBorders>
          </w:tcPr>
          <w:p>
            <w:pPr>
              <w:spacing w:after="0"/>
              <w:rPr>
                <w:sz w:val="14"/>
                <w:szCs w:val="14"/>
                <w:color w:val="auto"/>
              </w:rPr>
            </w:pPr>
          </w:p>
        </w:tc>
        <w:tc>
          <w:tcPr>
            <w:tcW w:w="920" w:type="dxa"/>
            <w:vAlign w:val="bottom"/>
            <w:tcBorders>
              <w:top w:val="single" w:sz="8" w:color="auto"/>
            </w:tcBorders>
          </w:tcPr>
          <w:p>
            <w:pPr>
              <w:spacing w:after="0"/>
              <w:rPr>
                <w:sz w:val="14"/>
                <w:szCs w:val="14"/>
                <w:color w:val="auto"/>
              </w:rPr>
            </w:pPr>
          </w:p>
        </w:tc>
        <w:tc>
          <w:tcPr>
            <w:tcW w:w="80" w:type="dxa"/>
            <w:vAlign w:val="bottom"/>
            <w:tcBorders>
              <w:top w:val="single" w:sz="8" w:color="CFF0FC"/>
            </w:tcBorders>
          </w:tcPr>
          <w:p>
            <w:pPr>
              <w:spacing w:after="0"/>
              <w:rPr>
                <w:sz w:val="14"/>
                <w:szCs w:val="14"/>
                <w:color w:val="auto"/>
              </w:rPr>
            </w:pPr>
          </w:p>
        </w:tc>
        <w:tc>
          <w:tcPr>
            <w:tcW w:w="4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3"/>
        </w:trPr>
        <w:tc>
          <w:tcPr>
            <w:tcW w:w="420" w:type="dxa"/>
            <w:vAlign w:val="bottom"/>
          </w:tcPr>
          <w:p>
            <w:pPr>
              <w:spacing w:after="0"/>
              <w:rPr>
                <w:sz w:val="18"/>
                <w:szCs w:val="18"/>
                <w:color w:val="auto"/>
              </w:rPr>
            </w:pPr>
          </w:p>
        </w:tc>
        <w:tc>
          <w:tcPr>
            <w:tcW w:w="3180" w:type="dxa"/>
            <w:vAlign w:val="bottom"/>
          </w:tcPr>
          <w:p>
            <w:pPr>
              <w:ind w:left="80"/>
              <w:spacing w:after="0"/>
              <w:rPr>
                <w:sz w:val="20"/>
                <w:szCs w:val="20"/>
                <w:color w:val="auto"/>
              </w:rPr>
            </w:pPr>
            <w:r>
              <w:rPr>
                <w:rFonts w:ascii="Times New Roman" w:cs="Times New Roman" w:eastAsia="Times New Roman" w:hAnsi="Times New Roman"/>
                <w:sz w:val="16"/>
                <w:szCs w:val="16"/>
                <w:color w:val="auto"/>
              </w:rPr>
              <w:t>and diluted</w:t>
            </w:r>
          </w:p>
        </w:tc>
        <w:tc>
          <w:tcPr>
            <w:tcW w:w="206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118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(0.06)</w:t>
            </w:r>
          </w:p>
        </w:tc>
        <w:tc>
          <w:tcPr>
            <w:tcW w:w="500" w:type="dxa"/>
            <w:vAlign w:val="bottom"/>
            <w:gridSpan w:val="2"/>
          </w:tcPr>
          <w:p>
            <w:pPr>
              <w:jc w:val="right"/>
              <w:ind w:right="340"/>
              <w:spacing w:after="0"/>
              <w:rPr>
                <w:sz w:val="20"/>
                <w:szCs w:val="20"/>
                <w:color w:val="auto"/>
              </w:rPr>
            </w:pPr>
            <w:r>
              <w:rPr>
                <w:rFonts w:ascii="Times New Roman" w:cs="Times New Roman" w:eastAsia="Times New Roman" w:hAnsi="Times New Roman"/>
                <w:sz w:val="16"/>
                <w:szCs w:val="16"/>
                <w:color w:val="auto"/>
              </w:rPr>
              <w:t>$</w:t>
            </w:r>
          </w:p>
        </w:tc>
        <w:tc>
          <w:tcPr>
            <w:tcW w:w="96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(0.14)</w:t>
            </w:r>
          </w:p>
        </w:tc>
        <w:tc>
          <w:tcPr>
            <w:tcW w:w="26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960" w:type="dxa"/>
            <w:vAlign w:val="bottom"/>
            <w:gridSpan w:val="2"/>
          </w:tcPr>
          <w:p>
            <w:pPr>
              <w:jc w:val="right"/>
              <w:ind w:right="80"/>
              <w:spacing w:after="0"/>
              <w:rPr>
                <w:sz w:val="20"/>
                <w:szCs w:val="20"/>
                <w:color w:val="auto"/>
              </w:rPr>
            </w:pPr>
            <w:r>
              <w:rPr>
                <w:rFonts w:ascii="Times New Roman" w:cs="Times New Roman" w:eastAsia="Times New Roman" w:hAnsi="Times New Roman"/>
                <w:sz w:val="16"/>
                <w:szCs w:val="16"/>
                <w:color w:val="auto"/>
              </w:rPr>
              <w:t>(0.43)</w:t>
            </w:r>
          </w:p>
        </w:tc>
        <w:tc>
          <w:tcPr>
            <w:tcW w:w="32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00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(0.56)</w:t>
            </w:r>
          </w:p>
        </w:tc>
        <w:tc>
          <w:tcPr>
            <w:tcW w:w="4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2"/>
        </w:trPr>
        <w:tc>
          <w:tcPr>
            <w:tcW w:w="420" w:type="dxa"/>
            <w:vAlign w:val="bottom"/>
          </w:tcPr>
          <w:p>
            <w:pPr>
              <w:spacing w:after="0"/>
              <w:rPr>
                <w:sz w:val="16"/>
                <w:szCs w:val="16"/>
                <w:color w:val="auto"/>
              </w:rPr>
            </w:pPr>
          </w:p>
        </w:tc>
        <w:tc>
          <w:tcPr>
            <w:tcW w:w="5240" w:type="dxa"/>
            <w:vAlign w:val="bottom"/>
            <w:gridSpan w:val="3"/>
            <w:shd w:val="clear" w:color="auto" w:fill="CFF0FC"/>
          </w:tcPr>
          <w:p>
            <w:pPr>
              <w:ind w:left="80"/>
              <w:spacing w:after="0"/>
              <w:rPr>
                <w:sz w:val="20"/>
                <w:szCs w:val="20"/>
                <w:color w:val="auto"/>
              </w:rPr>
            </w:pPr>
            <w:r>
              <w:rPr>
                <w:rFonts w:ascii="Times New Roman" w:cs="Times New Roman" w:eastAsia="Times New Roman" w:hAnsi="Times New Roman"/>
                <w:sz w:val="16"/>
                <w:szCs w:val="16"/>
                <w:color w:val="auto"/>
              </w:rPr>
              <w:t>Weighted-average shares used to compute net loss per share attributable</w:t>
            </w:r>
          </w:p>
        </w:tc>
        <w:tc>
          <w:tcPr>
            <w:tcW w:w="1040" w:type="dxa"/>
            <w:vAlign w:val="bottom"/>
            <w:shd w:val="clear" w:color="auto" w:fill="CFF0FC"/>
          </w:tcPr>
          <w:p>
            <w:pPr>
              <w:spacing w:after="0"/>
              <w:rPr>
                <w:sz w:val="16"/>
                <w:szCs w:val="16"/>
                <w:color w:val="auto"/>
              </w:rPr>
            </w:pPr>
          </w:p>
        </w:tc>
        <w:tc>
          <w:tcPr>
            <w:tcW w:w="14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400" w:type="dxa"/>
            <w:vAlign w:val="bottom"/>
            <w:shd w:val="clear" w:color="auto" w:fill="CFF0FC"/>
          </w:tcPr>
          <w:p>
            <w:pPr>
              <w:spacing w:after="0"/>
              <w:rPr>
                <w:sz w:val="16"/>
                <w:szCs w:val="16"/>
                <w:color w:val="auto"/>
              </w:rPr>
            </w:pPr>
          </w:p>
        </w:tc>
        <w:tc>
          <w:tcPr>
            <w:tcW w:w="800" w:type="dxa"/>
            <w:vAlign w:val="bottom"/>
            <w:shd w:val="clear" w:color="auto" w:fill="CFF0FC"/>
          </w:tcPr>
          <w:p>
            <w:pPr>
              <w:spacing w:after="0"/>
              <w:rPr>
                <w:sz w:val="16"/>
                <w:szCs w:val="16"/>
                <w:color w:val="auto"/>
              </w:rPr>
            </w:pPr>
          </w:p>
        </w:tc>
        <w:tc>
          <w:tcPr>
            <w:tcW w:w="16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160" w:type="dxa"/>
            <w:vAlign w:val="bottom"/>
            <w:shd w:val="clear" w:color="auto" w:fill="CFF0FC"/>
          </w:tcPr>
          <w:p>
            <w:pPr>
              <w:spacing w:after="0"/>
              <w:rPr>
                <w:sz w:val="16"/>
                <w:szCs w:val="16"/>
                <w:color w:val="auto"/>
              </w:rPr>
            </w:pPr>
          </w:p>
        </w:tc>
        <w:tc>
          <w:tcPr>
            <w:tcW w:w="84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80" w:type="dxa"/>
            <w:vAlign w:val="bottom"/>
            <w:shd w:val="clear" w:color="auto" w:fill="CFF0FC"/>
          </w:tcPr>
          <w:p>
            <w:pPr>
              <w:spacing w:after="0"/>
              <w:rPr>
                <w:sz w:val="16"/>
                <w:szCs w:val="16"/>
                <w:color w:val="auto"/>
              </w:rPr>
            </w:pPr>
          </w:p>
        </w:tc>
        <w:tc>
          <w:tcPr>
            <w:tcW w:w="240" w:type="dxa"/>
            <w:vAlign w:val="bottom"/>
            <w:shd w:val="clear" w:color="auto" w:fill="CFF0FC"/>
          </w:tcPr>
          <w:p>
            <w:pPr>
              <w:spacing w:after="0"/>
              <w:rPr>
                <w:sz w:val="16"/>
                <w:szCs w:val="16"/>
                <w:color w:val="auto"/>
              </w:rPr>
            </w:pPr>
          </w:p>
        </w:tc>
        <w:tc>
          <w:tcPr>
            <w:tcW w:w="920" w:type="dxa"/>
            <w:vAlign w:val="bottom"/>
            <w:shd w:val="clear" w:color="auto" w:fill="CFF0FC"/>
          </w:tcPr>
          <w:p>
            <w:pPr>
              <w:spacing w:after="0"/>
              <w:rPr>
                <w:sz w:val="16"/>
                <w:szCs w:val="16"/>
                <w:color w:val="auto"/>
              </w:rPr>
            </w:pPr>
          </w:p>
        </w:tc>
        <w:tc>
          <w:tcPr>
            <w:tcW w:w="80" w:type="dxa"/>
            <w:vAlign w:val="bottom"/>
            <w:shd w:val="clear" w:color="auto" w:fill="CFF0FC"/>
          </w:tcPr>
          <w:p>
            <w:pPr>
              <w:spacing w:after="0"/>
              <w:rPr>
                <w:sz w:val="16"/>
                <w:szCs w:val="16"/>
                <w:color w:val="auto"/>
              </w:rPr>
            </w:pPr>
          </w:p>
        </w:tc>
        <w:tc>
          <w:tcPr>
            <w:tcW w:w="4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420" w:type="dxa"/>
            <w:vAlign w:val="bottom"/>
          </w:tcPr>
          <w:p>
            <w:pPr>
              <w:spacing w:after="0"/>
              <w:rPr>
                <w:sz w:val="18"/>
                <w:szCs w:val="18"/>
                <w:color w:val="auto"/>
              </w:rPr>
            </w:pPr>
          </w:p>
        </w:tc>
        <w:tc>
          <w:tcPr>
            <w:tcW w:w="3180" w:type="dxa"/>
            <w:vAlign w:val="bottom"/>
            <w:shd w:val="clear" w:color="auto" w:fill="CFF0FC"/>
          </w:tcPr>
          <w:p>
            <w:pPr>
              <w:ind w:left="80"/>
              <w:spacing w:after="0"/>
              <w:rPr>
                <w:sz w:val="20"/>
                <w:szCs w:val="20"/>
                <w:color w:val="auto"/>
              </w:rPr>
            </w:pPr>
            <w:r>
              <w:rPr>
                <w:rFonts w:ascii="Times New Roman" w:cs="Times New Roman" w:eastAsia="Times New Roman" w:hAnsi="Times New Roman"/>
                <w:sz w:val="16"/>
                <w:szCs w:val="16"/>
                <w:color w:val="auto"/>
              </w:rPr>
              <w:t>to common stockholders, basic and diluted</w:t>
            </w:r>
          </w:p>
        </w:tc>
        <w:tc>
          <w:tcPr>
            <w:tcW w:w="178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94,204,138</w:t>
            </w:r>
          </w:p>
        </w:tc>
        <w:tc>
          <w:tcPr>
            <w:tcW w:w="1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400" w:type="dxa"/>
            <w:vAlign w:val="bottom"/>
            <w:shd w:val="clear" w:color="auto" w:fill="CFF0FC"/>
          </w:tcPr>
          <w:p>
            <w:pPr>
              <w:spacing w:after="0"/>
              <w:rPr>
                <w:sz w:val="18"/>
                <w:szCs w:val="18"/>
                <w:color w:val="auto"/>
              </w:rPr>
            </w:pP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72,990,908</w:t>
            </w:r>
          </w:p>
        </w:tc>
        <w:tc>
          <w:tcPr>
            <w:tcW w:w="1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81,795,105</w:t>
            </w:r>
          </w:p>
        </w:tc>
        <w:tc>
          <w:tcPr>
            <w:tcW w:w="12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72,413,541</w:t>
            </w:r>
          </w:p>
        </w:tc>
        <w:tc>
          <w:tcPr>
            <w:tcW w:w="80" w:type="dxa"/>
            <w:vAlign w:val="bottom"/>
            <w:shd w:val="clear" w:color="auto" w:fill="CFF0FC"/>
          </w:tcPr>
          <w:p>
            <w:pPr>
              <w:spacing w:after="0"/>
              <w:rPr>
                <w:sz w:val="18"/>
                <w:szCs w:val="18"/>
                <w:color w:val="auto"/>
              </w:rPr>
            </w:pPr>
          </w:p>
        </w:tc>
        <w:tc>
          <w:tcPr>
            <w:tcW w:w="4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979"/>
        </w:trPr>
        <w:tc>
          <w:tcPr>
            <w:tcW w:w="420" w:type="dxa"/>
            <w:vAlign w:val="bottom"/>
            <w:tcBorders>
              <w:bottom w:val="single" w:sz="8" w:color="9A9A9A"/>
            </w:tcBorders>
          </w:tcPr>
          <w:p>
            <w:pPr>
              <w:spacing w:after="0"/>
              <w:rPr>
                <w:sz w:val="24"/>
                <w:szCs w:val="24"/>
                <w:color w:val="auto"/>
              </w:rPr>
            </w:pPr>
          </w:p>
        </w:tc>
        <w:tc>
          <w:tcPr>
            <w:tcW w:w="3180" w:type="dxa"/>
            <w:vAlign w:val="bottom"/>
            <w:tcBorders>
              <w:bottom w:val="single" w:sz="8" w:color="9A9A9A"/>
            </w:tcBorders>
          </w:tcPr>
          <w:p>
            <w:pPr>
              <w:spacing w:after="0"/>
              <w:rPr>
                <w:sz w:val="24"/>
                <w:szCs w:val="24"/>
                <w:color w:val="auto"/>
              </w:rPr>
            </w:pPr>
          </w:p>
        </w:tc>
        <w:tc>
          <w:tcPr>
            <w:tcW w:w="1780" w:type="dxa"/>
            <w:vAlign w:val="bottom"/>
            <w:tcBorders>
              <w:bottom w:val="single" w:sz="8" w:color="9A9A9A"/>
            </w:tcBorders>
          </w:tcPr>
          <w:p>
            <w:pPr>
              <w:spacing w:after="0"/>
              <w:rPr>
                <w:sz w:val="24"/>
                <w:szCs w:val="24"/>
                <w:color w:val="auto"/>
              </w:rPr>
            </w:pPr>
          </w:p>
        </w:tc>
        <w:tc>
          <w:tcPr>
            <w:tcW w:w="280" w:type="dxa"/>
            <w:vAlign w:val="bottom"/>
            <w:tcBorders>
              <w:bottom w:val="single" w:sz="8" w:color="9A9A9A"/>
            </w:tcBorders>
          </w:tcPr>
          <w:p>
            <w:pPr>
              <w:spacing w:after="0"/>
              <w:rPr>
                <w:sz w:val="24"/>
                <w:szCs w:val="24"/>
                <w:color w:val="auto"/>
              </w:rPr>
            </w:pPr>
          </w:p>
        </w:tc>
        <w:tc>
          <w:tcPr>
            <w:tcW w:w="104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400" w:type="dxa"/>
            <w:vAlign w:val="bottom"/>
            <w:tcBorders>
              <w:bottom w:val="single" w:sz="8" w:color="9A9A9A"/>
            </w:tcBorders>
          </w:tcPr>
          <w:p>
            <w:pPr>
              <w:spacing w:after="0"/>
              <w:rPr>
                <w:sz w:val="24"/>
                <w:szCs w:val="24"/>
                <w:color w:val="auto"/>
              </w:rPr>
            </w:pPr>
          </w:p>
        </w:tc>
        <w:tc>
          <w:tcPr>
            <w:tcW w:w="800" w:type="dxa"/>
            <w:vAlign w:val="bottom"/>
            <w:tcBorders>
              <w:bottom w:val="single" w:sz="8" w:color="9A9A9A"/>
            </w:tcBorders>
          </w:tcPr>
          <w:p>
            <w:pPr>
              <w:spacing w:after="0"/>
              <w:rPr>
                <w:sz w:val="24"/>
                <w:szCs w:val="24"/>
                <w:color w:val="auto"/>
              </w:rPr>
            </w:pPr>
          </w:p>
        </w:tc>
        <w:tc>
          <w:tcPr>
            <w:tcW w:w="16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160" w:type="dxa"/>
            <w:vAlign w:val="bottom"/>
            <w:tcBorders>
              <w:bottom w:val="single" w:sz="8" w:color="9A9A9A"/>
            </w:tcBorders>
          </w:tcPr>
          <w:p>
            <w:pPr>
              <w:spacing w:after="0"/>
              <w:rPr>
                <w:sz w:val="24"/>
                <w:szCs w:val="24"/>
                <w:color w:val="auto"/>
              </w:rPr>
            </w:pPr>
          </w:p>
        </w:tc>
        <w:tc>
          <w:tcPr>
            <w:tcW w:w="84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240" w:type="dxa"/>
            <w:vAlign w:val="bottom"/>
            <w:tcBorders>
              <w:bottom w:val="single" w:sz="8" w:color="9A9A9A"/>
            </w:tcBorders>
          </w:tcPr>
          <w:p>
            <w:pPr>
              <w:spacing w:after="0"/>
              <w:rPr>
                <w:sz w:val="24"/>
                <w:szCs w:val="24"/>
                <w:color w:val="auto"/>
              </w:rPr>
            </w:pPr>
          </w:p>
        </w:tc>
        <w:tc>
          <w:tcPr>
            <w:tcW w:w="92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40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500380</wp:posOffset>
            </wp:positionV>
            <wp:extent cx="2305685" cy="36893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clrChange>
                        <a:clrFrom>
                          <a:srgbClr val="FFFFFF"/>
                        </a:clrFrom>
                        <a:clrTo>
                          <a:srgbClr val="FFFFFF">
                            <a:alpha val="0"/>
                          </a:srgbClr>
                        </a:clrTo>
                      </a:clrChange>
                      <a:extLst>
                        <a:ext uri="{28A0092B-C50C-407E-A947-70E740481C1C}"/>
                      </a:extLst>
                    </a:blip>
                    <a:srcRect/>
                    <a:stretch>
                      <a:fillRect/>
                    </a:stretch>
                  </pic:blipFill>
                  <pic:spPr bwMode="auto">
                    <a:xfrm>
                      <a:off x="0" y="0"/>
                      <a:ext cx="2305685" cy="368935"/>
                    </a:xfrm>
                    <a:prstGeom prst="rect">
                      <a:avLst/>
                    </a:prstGeom>
                    <a:noFill/>
                  </pic:spPr>
                </pic:pic>
              </a:graphicData>
            </a:graphic>
          </wp:anchor>
        </w:drawing>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4248150</wp:posOffset>
            </wp:positionH>
            <wp:positionV relativeFrom="paragraph">
              <wp:posOffset>-3548380</wp:posOffset>
            </wp:positionV>
            <wp:extent cx="68580" cy="825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5173980</wp:posOffset>
            </wp:positionH>
            <wp:positionV relativeFrom="paragraph">
              <wp:posOffset>-3548380</wp:posOffset>
            </wp:positionV>
            <wp:extent cx="68580" cy="825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5962650</wp:posOffset>
            </wp:positionH>
            <wp:positionV relativeFrom="paragraph">
              <wp:posOffset>-3548380</wp:posOffset>
            </wp:positionV>
            <wp:extent cx="60325" cy="825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6828790</wp:posOffset>
            </wp:positionH>
            <wp:positionV relativeFrom="paragraph">
              <wp:posOffset>-3548380</wp:posOffset>
            </wp:positionV>
            <wp:extent cx="59690" cy="825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59690" cy="8255"/>
                    </a:xfrm>
                    <a:prstGeom prst="rect">
                      <a:avLst/>
                    </a:prstGeom>
                    <a:noFill/>
                  </pic:spPr>
                </pic:pic>
              </a:graphicData>
            </a:graphic>
          </wp:anchor>
        </w:drawing>
        <w:drawing>
          <wp:anchor simplePos="0" relativeHeight="251657728" behindDoc="1" locked="0" layoutInCell="0" allowOverlap="1">
            <wp:simplePos x="0" y="0"/>
            <wp:positionH relativeFrom="column">
              <wp:posOffset>4248150</wp:posOffset>
            </wp:positionH>
            <wp:positionV relativeFrom="paragraph">
              <wp:posOffset>-3025140</wp:posOffset>
            </wp:positionV>
            <wp:extent cx="68580" cy="825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5173980</wp:posOffset>
            </wp:positionH>
            <wp:positionV relativeFrom="paragraph">
              <wp:posOffset>-3025140</wp:posOffset>
            </wp:positionV>
            <wp:extent cx="68580" cy="825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5962650</wp:posOffset>
            </wp:positionH>
            <wp:positionV relativeFrom="paragraph">
              <wp:posOffset>-3025140</wp:posOffset>
            </wp:positionV>
            <wp:extent cx="60325" cy="825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6828790</wp:posOffset>
            </wp:positionH>
            <wp:positionV relativeFrom="paragraph">
              <wp:posOffset>-3025140</wp:posOffset>
            </wp:positionV>
            <wp:extent cx="59690" cy="825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59690" cy="8255"/>
                    </a:xfrm>
                    <a:prstGeom prst="rect">
                      <a:avLst/>
                    </a:prstGeom>
                    <a:noFill/>
                  </pic:spPr>
                </pic:pic>
              </a:graphicData>
            </a:graphic>
          </wp:anchor>
        </w:drawing>
        <w:drawing>
          <wp:anchor simplePos="0" relativeHeight="251657728" behindDoc="1" locked="0" layoutInCell="0" allowOverlap="1">
            <wp:simplePos x="0" y="0"/>
            <wp:positionH relativeFrom="column">
              <wp:posOffset>4248150</wp:posOffset>
            </wp:positionH>
            <wp:positionV relativeFrom="paragraph">
              <wp:posOffset>-2236470</wp:posOffset>
            </wp:positionV>
            <wp:extent cx="68580" cy="825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5173980</wp:posOffset>
            </wp:positionH>
            <wp:positionV relativeFrom="paragraph">
              <wp:posOffset>-2236470</wp:posOffset>
            </wp:positionV>
            <wp:extent cx="68580" cy="825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5962650</wp:posOffset>
            </wp:positionH>
            <wp:positionV relativeFrom="paragraph">
              <wp:posOffset>-2236470</wp:posOffset>
            </wp:positionV>
            <wp:extent cx="60325" cy="825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6828790</wp:posOffset>
            </wp:positionH>
            <wp:positionV relativeFrom="paragraph">
              <wp:posOffset>-2236470</wp:posOffset>
            </wp:positionV>
            <wp:extent cx="59690" cy="825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59690" cy="8255"/>
                    </a:xfrm>
                    <a:prstGeom prst="rect">
                      <a:avLst/>
                    </a:prstGeom>
                    <a:noFill/>
                  </pic:spPr>
                </pic:pic>
              </a:graphicData>
            </a:graphic>
          </wp:anchor>
        </w:drawing>
        <w:drawing>
          <wp:anchor simplePos="0" relativeHeight="251657728" behindDoc="1" locked="0" layoutInCell="0" allowOverlap="1">
            <wp:simplePos x="0" y="0"/>
            <wp:positionH relativeFrom="column">
              <wp:posOffset>4248150</wp:posOffset>
            </wp:positionH>
            <wp:positionV relativeFrom="paragraph">
              <wp:posOffset>-1173480</wp:posOffset>
            </wp:positionV>
            <wp:extent cx="68580" cy="825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4248150</wp:posOffset>
            </wp:positionH>
            <wp:positionV relativeFrom="paragraph">
              <wp:posOffset>-1156335</wp:posOffset>
            </wp:positionV>
            <wp:extent cx="68580" cy="825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5173980</wp:posOffset>
            </wp:positionH>
            <wp:positionV relativeFrom="paragraph">
              <wp:posOffset>-1173480</wp:posOffset>
            </wp:positionV>
            <wp:extent cx="68580" cy="825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5173980</wp:posOffset>
            </wp:positionH>
            <wp:positionV relativeFrom="paragraph">
              <wp:posOffset>-1156335</wp:posOffset>
            </wp:positionV>
            <wp:extent cx="68580" cy="825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5962650</wp:posOffset>
            </wp:positionH>
            <wp:positionV relativeFrom="paragraph">
              <wp:posOffset>-1173480</wp:posOffset>
            </wp:positionV>
            <wp:extent cx="60325" cy="825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5962650</wp:posOffset>
            </wp:positionH>
            <wp:positionV relativeFrom="paragraph">
              <wp:posOffset>-1156335</wp:posOffset>
            </wp:positionV>
            <wp:extent cx="60325" cy="825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6828790</wp:posOffset>
            </wp:positionH>
            <wp:positionV relativeFrom="paragraph">
              <wp:posOffset>-1173480</wp:posOffset>
            </wp:positionV>
            <wp:extent cx="59690" cy="825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59690" cy="8255"/>
                    </a:xfrm>
                    <a:prstGeom prst="rect">
                      <a:avLst/>
                    </a:prstGeom>
                    <a:noFill/>
                  </pic:spPr>
                </pic:pic>
              </a:graphicData>
            </a:graphic>
          </wp:anchor>
        </w:drawing>
        <w:drawing>
          <wp:anchor simplePos="0" relativeHeight="251657728" behindDoc="1" locked="0" layoutInCell="0" allowOverlap="1">
            <wp:simplePos x="0" y="0"/>
            <wp:positionH relativeFrom="column">
              <wp:posOffset>6828790</wp:posOffset>
            </wp:positionH>
            <wp:positionV relativeFrom="paragraph">
              <wp:posOffset>-1156335</wp:posOffset>
            </wp:positionV>
            <wp:extent cx="59690" cy="825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59690" cy="8255"/>
                    </a:xfrm>
                    <a:prstGeom prst="rect">
                      <a:avLst/>
                    </a:prstGeom>
                    <a:noFill/>
                  </pic:spPr>
                </pic:pic>
              </a:graphicData>
            </a:graphic>
          </wp:anchor>
        </w:drawing>
      </w:r>
    </w:p>
    <w:p>
      <w:pPr>
        <w:sectPr>
          <w:pgSz w:w="11900" w:h="16838" w:orient="portrait"/>
          <w:cols w:equalWidth="0" w:num="1">
            <w:col w:w="11240"/>
          </w:cols>
          <w:pgMar w:left="320" w:top="1352" w:right="339" w:bottom="1440" w:gutter="0" w:footer="0" w:header="0"/>
        </w:sectPr>
      </w:pPr>
    </w:p>
    <w:bookmarkStart w:id="8" w:name="page9"/>
    <w:bookmarkEnd w:id="8"/>
    <w:p>
      <w:pPr>
        <w:jc w:val="center"/>
        <w:spacing w:after="0"/>
        <w:rPr>
          <w:sz w:val="20"/>
          <w:szCs w:val="20"/>
          <w:color w:val="auto"/>
        </w:rPr>
      </w:pPr>
      <w:r>
        <w:rPr>
          <w:rFonts w:ascii="Times New Roman" w:cs="Times New Roman" w:eastAsia="Times New Roman" w:hAnsi="Times New Roman"/>
          <w:sz w:val="16"/>
          <w:szCs w:val="16"/>
          <w:b w:val="1"/>
          <w:bCs w:val="1"/>
          <w:color w:val="auto"/>
        </w:rPr>
        <w:drawing>
          <wp:anchor simplePos="0" relativeHeight="251657728" behindDoc="1" locked="0" layoutInCell="0" allowOverlap="1">
            <wp:simplePos x="0" y="0"/>
            <wp:positionH relativeFrom="page">
              <wp:posOffset>208280</wp:posOffset>
            </wp:positionH>
            <wp:positionV relativeFrom="page">
              <wp:posOffset>500380</wp:posOffset>
            </wp:positionV>
            <wp:extent cx="2305685" cy="36893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clrChange>
                        <a:clrFrom>
                          <a:srgbClr val="FFFFFF"/>
                        </a:clrFrom>
                        <a:clrTo>
                          <a:srgbClr val="FFFFFF">
                            <a:alpha val="0"/>
                          </a:srgbClr>
                        </a:clrTo>
                      </a:clrChange>
                      <a:extLst>
                        <a:ext uri="{28A0092B-C50C-407E-A947-70E740481C1C}"/>
                      </a:extLst>
                    </a:blip>
                    <a:srcRect/>
                    <a:stretch>
                      <a:fillRect/>
                    </a:stretch>
                  </pic:blipFill>
                  <pic:spPr bwMode="auto">
                    <a:xfrm>
                      <a:off x="0" y="0"/>
                      <a:ext cx="2305685" cy="368935"/>
                    </a:xfrm>
                    <a:prstGeom prst="rect">
                      <a:avLst/>
                    </a:prstGeom>
                    <a:noFill/>
                  </pic:spPr>
                </pic:pic>
              </a:graphicData>
            </a:graphic>
          </wp:anchor>
        </w:drawing>
        <w:t>HYPERFINE, INC. AND SUBSIDIARIES</w:t>
      </w:r>
    </w:p>
    <w:p>
      <w:pPr>
        <w:spacing w:after="0" w:line="2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CONSOLIDATED STATEMENT OF CASH FLOWS</w:t>
      </w:r>
    </w:p>
    <w:p>
      <w:pPr>
        <w:spacing w:after="0" w:line="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i w:val="1"/>
          <w:iCs w:val="1"/>
          <w:color w:val="auto"/>
        </w:rPr>
        <w:t>(in thousands)</w:t>
      </w:r>
    </w:p>
    <w:p>
      <w:pPr>
        <w:spacing w:after="0" w:line="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(Unaudited)</w:t>
      </w:r>
    </w:p>
    <w:p>
      <w:pPr>
        <w:spacing w:after="0" w:line="211" w:lineRule="exact"/>
        <w:rPr>
          <w:sz w:val="20"/>
          <w:szCs w:val="20"/>
          <w:color w:val="auto"/>
        </w:rPr>
      </w:pPr>
    </w:p>
    <w:tbl>
      <w:tblPr>
        <w:tblLayout w:type="fixed"/>
        <w:tblInd w:w="400" w:type="dxa"/>
        <w:tblCellMar>
          <w:top w:w="0" w:type="dxa"/>
          <w:left w:w="0" w:type="dxa"/>
          <w:bottom w:w="0" w:type="dxa"/>
          <w:right w:w="0" w:type="dxa"/>
        </w:tblCellMar>
      </w:tblPr>
      <w:tr>
        <w:trPr>
          <w:trHeight w:val="215"/>
        </w:trPr>
        <w:tc>
          <w:tcPr>
            <w:tcW w:w="20" w:type="dxa"/>
            <w:vAlign w:val="bottom"/>
          </w:tcPr>
          <w:p>
            <w:pPr>
              <w:spacing w:after="0"/>
              <w:rPr>
                <w:sz w:val="18"/>
                <w:szCs w:val="18"/>
                <w:color w:val="auto"/>
              </w:rPr>
            </w:pPr>
          </w:p>
        </w:tc>
        <w:tc>
          <w:tcPr>
            <w:tcW w:w="614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700" w:type="dxa"/>
            <w:vAlign w:val="bottom"/>
            <w:gridSpan w:val="6"/>
          </w:tcPr>
          <w:p>
            <w:pPr>
              <w:jc w:val="right"/>
              <w:ind w:right="640"/>
              <w:spacing w:after="0"/>
              <w:rPr>
                <w:sz w:val="20"/>
                <w:szCs w:val="20"/>
                <w:color w:val="auto"/>
              </w:rPr>
            </w:pPr>
            <w:r>
              <w:rPr>
                <w:rFonts w:ascii="Times New Roman" w:cs="Times New Roman" w:eastAsia="Times New Roman" w:hAnsi="Times New Roman"/>
                <w:sz w:val="16"/>
                <w:szCs w:val="16"/>
                <w:b w:val="1"/>
                <w:bCs w:val="1"/>
                <w:color w:val="auto"/>
              </w:rPr>
              <w:t>Year Ended December 31,</w:t>
            </w:r>
          </w:p>
        </w:tc>
      </w:tr>
      <w:tr>
        <w:trPr>
          <w:trHeight w:val="199"/>
        </w:trPr>
        <w:tc>
          <w:tcPr>
            <w:tcW w:w="20" w:type="dxa"/>
            <w:vAlign w:val="bottom"/>
          </w:tcPr>
          <w:p>
            <w:pPr>
              <w:spacing w:after="0"/>
              <w:rPr>
                <w:sz w:val="17"/>
                <w:szCs w:val="17"/>
                <w:color w:val="auto"/>
              </w:rPr>
            </w:pPr>
          </w:p>
        </w:tc>
        <w:tc>
          <w:tcPr>
            <w:tcW w:w="614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280" w:type="dxa"/>
            <w:vAlign w:val="bottom"/>
            <w:tcBorders>
              <w:top w:val="single" w:sz="8" w:color="auto"/>
              <w:bottom w:val="single" w:sz="8" w:color="auto"/>
            </w:tcBorders>
          </w:tcPr>
          <w:p>
            <w:pPr>
              <w:spacing w:after="0"/>
              <w:rPr>
                <w:sz w:val="17"/>
                <w:szCs w:val="17"/>
                <w:color w:val="auto"/>
              </w:rPr>
            </w:pPr>
          </w:p>
        </w:tc>
        <w:tc>
          <w:tcPr>
            <w:tcW w:w="1040" w:type="dxa"/>
            <w:vAlign w:val="bottom"/>
            <w:tcBorders>
              <w:top w:val="single" w:sz="8" w:color="auto"/>
              <w:bottom w:val="single" w:sz="8" w:color="auto"/>
            </w:tcBorders>
          </w:tcPr>
          <w:p>
            <w:pPr>
              <w:jc w:val="right"/>
              <w:ind w:right="419"/>
              <w:spacing w:after="0"/>
              <w:rPr>
                <w:sz w:val="20"/>
                <w:szCs w:val="20"/>
                <w:color w:val="auto"/>
              </w:rPr>
            </w:pPr>
            <w:r>
              <w:rPr>
                <w:rFonts w:ascii="Times New Roman" w:cs="Times New Roman" w:eastAsia="Times New Roman" w:hAnsi="Times New Roman"/>
                <w:sz w:val="16"/>
                <w:szCs w:val="16"/>
                <w:b w:val="1"/>
                <w:bCs w:val="1"/>
                <w:color w:val="auto"/>
              </w:rPr>
              <w:t>2025</w:t>
            </w:r>
          </w:p>
        </w:tc>
        <w:tc>
          <w:tcPr>
            <w:tcW w:w="160" w:type="dxa"/>
            <w:vAlign w:val="bottom"/>
            <w:tcBorders>
              <w:top w:val="single" w:sz="8" w:color="auto"/>
            </w:tcBorders>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280" w:type="dxa"/>
            <w:vAlign w:val="bottom"/>
            <w:tcBorders>
              <w:top w:val="single" w:sz="8" w:color="auto"/>
              <w:bottom w:val="single" w:sz="8" w:color="auto"/>
            </w:tcBorders>
          </w:tcPr>
          <w:p>
            <w:pPr>
              <w:spacing w:after="0"/>
              <w:rPr>
                <w:sz w:val="17"/>
                <w:szCs w:val="17"/>
                <w:color w:val="auto"/>
              </w:rPr>
            </w:pPr>
          </w:p>
        </w:tc>
        <w:tc>
          <w:tcPr>
            <w:tcW w:w="1020" w:type="dxa"/>
            <w:vAlign w:val="bottom"/>
            <w:tcBorders>
              <w:top w:val="single" w:sz="8" w:color="auto"/>
              <w:bottom w:val="single" w:sz="8" w:color="auto"/>
            </w:tcBorders>
          </w:tcPr>
          <w:p>
            <w:pPr>
              <w:jc w:val="right"/>
              <w:ind w:right="419"/>
              <w:spacing w:after="0"/>
              <w:rPr>
                <w:sz w:val="20"/>
                <w:szCs w:val="20"/>
                <w:color w:val="auto"/>
              </w:rPr>
            </w:pPr>
            <w:r>
              <w:rPr>
                <w:rFonts w:ascii="Times New Roman" w:cs="Times New Roman" w:eastAsia="Times New Roman" w:hAnsi="Times New Roman"/>
                <w:sz w:val="16"/>
                <w:szCs w:val="16"/>
                <w:b w:val="1"/>
                <w:bCs w:val="1"/>
                <w:color w:val="auto"/>
              </w:rPr>
              <w:t>2024</w:t>
            </w:r>
          </w:p>
        </w:tc>
        <w:tc>
          <w:tcPr>
            <w:tcW w:w="80" w:type="dxa"/>
            <w:vAlign w:val="bottom"/>
          </w:tcPr>
          <w:p>
            <w:pPr>
              <w:spacing w:after="0"/>
              <w:rPr>
                <w:sz w:val="17"/>
                <w:szCs w:val="17"/>
                <w:color w:val="auto"/>
              </w:rPr>
            </w:pPr>
          </w:p>
        </w:tc>
      </w:tr>
      <w:tr>
        <w:trPr>
          <w:trHeight w:val="196"/>
        </w:trPr>
        <w:tc>
          <w:tcPr>
            <w:tcW w:w="20" w:type="dxa"/>
            <w:vAlign w:val="bottom"/>
          </w:tcPr>
          <w:p>
            <w:pPr>
              <w:spacing w:after="0"/>
              <w:rPr>
                <w:sz w:val="17"/>
                <w:szCs w:val="17"/>
                <w:color w:val="auto"/>
              </w:rPr>
            </w:pPr>
          </w:p>
        </w:tc>
        <w:tc>
          <w:tcPr>
            <w:tcW w:w="614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b w:val="1"/>
                <w:bCs w:val="1"/>
                <w:color w:val="auto"/>
              </w:rPr>
              <w:t>Cash flows from operating activities:</w:t>
            </w:r>
          </w:p>
        </w:tc>
        <w:tc>
          <w:tcPr>
            <w:tcW w:w="1300" w:type="dxa"/>
            <w:vAlign w:val="bottom"/>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104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102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r>
      <w:tr>
        <w:trPr>
          <w:trHeight w:val="203"/>
        </w:trPr>
        <w:tc>
          <w:tcPr>
            <w:tcW w:w="20" w:type="dxa"/>
            <w:vAlign w:val="bottom"/>
          </w:tcPr>
          <w:p>
            <w:pPr>
              <w:spacing w:after="0"/>
              <w:rPr>
                <w:sz w:val="17"/>
                <w:szCs w:val="17"/>
                <w:color w:val="auto"/>
              </w:rPr>
            </w:pPr>
          </w:p>
        </w:tc>
        <w:tc>
          <w:tcPr>
            <w:tcW w:w="614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Net loss</w:t>
            </w:r>
          </w:p>
        </w:tc>
        <w:tc>
          <w:tcPr>
            <w:tcW w:w="158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120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(35,574)</w:t>
            </w:r>
          </w:p>
        </w:tc>
        <w:tc>
          <w:tcPr>
            <w:tcW w:w="40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110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(40,720)</w:t>
            </w:r>
          </w:p>
        </w:tc>
      </w:tr>
      <w:tr>
        <w:trPr>
          <w:trHeight w:val="203"/>
        </w:trPr>
        <w:tc>
          <w:tcPr>
            <w:tcW w:w="20" w:type="dxa"/>
            <w:vAlign w:val="bottom"/>
          </w:tcPr>
          <w:p>
            <w:pPr>
              <w:spacing w:after="0"/>
              <w:rPr>
                <w:sz w:val="17"/>
                <w:szCs w:val="17"/>
                <w:color w:val="auto"/>
              </w:rPr>
            </w:pPr>
          </w:p>
        </w:tc>
        <w:tc>
          <w:tcPr>
            <w:tcW w:w="614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6"/>
                <w:szCs w:val="16"/>
                <w:color w:val="auto"/>
              </w:rPr>
              <w:t>Adjustments to reconcile net loss to net cash used in operating activities:</w:t>
            </w:r>
          </w:p>
        </w:tc>
        <w:tc>
          <w:tcPr>
            <w:tcW w:w="1300" w:type="dxa"/>
            <w:vAlign w:val="bottom"/>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104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102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r>
      <w:tr>
        <w:trPr>
          <w:trHeight w:val="203"/>
        </w:trPr>
        <w:tc>
          <w:tcPr>
            <w:tcW w:w="20" w:type="dxa"/>
            <w:vAlign w:val="bottom"/>
          </w:tcPr>
          <w:p>
            <w:pPr>
              <w:spacing w:after="0"/>
              <w:rPr>
                <w:sz w:val="17"/>
                <w:szCs w:val="17"/>
                <w:color w:val="auto"/>
              </w:rPr>
            </w:pPr>
          </w:p>
        </w:tc>
        <w:tc>
          <w:tcPr>
            <w:tcW w:w="6140" w:type="dxa"/>
            <w:vAlign w:val="bottom"/>
          </w:tcPr>
          <w:p>
            <w:pPr>
              <w:ind w:left="260"/>
              <w:spacing w:after="0"/>
              <w:rPr>
                <w:sz w:val="20"/>
                <w:szCs w:val="20"/>
                <w:color w:val="auto"/>
              </w:rPr>
            </w:pPr>
            <w:r>
              <w:rPr>
                <w:rFonts w:ascii="Times New Roman" w:cs="Times New Roman" w:eastAsia="Times New Roman" w:hAnsi="Times New Roman"/>
                <w:sz w:val="16"/>
                <w:szCs w:val="16"/>
                <w:color w:val="auto"/>
              </w:rPr>
              <w:t>Depreciation</w:t>
            </w:r>
          </w:p>
        </w:tc>
        <w:tc>
          <w:tcPr>
            <w:tcW w:w="13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1,090</w:t>
            </w: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1,009</w:t>
            </w:r>
          </w:p>
        </w:tc>
        <w:tc>
          <w:tcPr>
            <w:tcW w:w="80" w:type="dxa"/>
            <w:vAlign w:val="bottom"/>
          </w:tcPr>
          <w:p>
            <w:pPr>
              <w:spacing w:after="0"/>
              <w:rPr>
                <w:sz w:val="17"/>
                <w:szCs w:val="17"/>
                <w:color w:val="auto"/>
              </w:rPr>
            </w:pPr>
          </w:p>
        </w:tc>
      </w:tr>
      <w:tr>
        <w:trPr>
          <w:trHeight w:val="203"/>
        </w:trPr>
        <w:tc>
          <w:tcPr>
            <w:tcW w:w="20" w:type="dxa"/>
            <w:vAlign w:val="bottom"/>
          </w:tcPr>
          <w:p>
            <w:pPr>
              <w:spacing w:after="0"/>
              <w:rPr>
                <w:sz w:val="17"/>
                <w:szCs w:val="17"/>
                <w:color w:val="auto"/>
              </w:rPr>
            </w:pPr>
          </w:p>
        </w:tc>
        <w:tc>
          <w:tcPr>
            <w:tcW w:w="614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6"/>
                <w:szCs w:val="16"/>
                <w:color w:val="auto"/>
              </w:rPr>
              <w:t>Stock-based compensation expense</w:t>
            </w:r>
          </w:p>
        </w:tc>
        <w:tc>
          <w:tcPr>
            <w:tcW w:w="1300" w:type="dxa"/>
            <w:vAlign w:val="bottom"/>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2,801</w:t>
            </w:r>
          </w:p>
        </w:tc>
        <w:tc>
          <w:tcPr>
            <w:tcW w:w="16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4,362</w:t>
            </w:r>
          </w:p>
        </w:tc>
        <w:tc>
          <w:tcPr>
            <w:tcW w:w="80" w:type="dxa"/>
            <w:vAlign w:val="bottom"/>
            <w:shd w:val="clear" w:color="auto" w:fill="CFF0FC"/>
          </w:tcPr>
          <w:p>
            <w:pPr>
              <w:spacing w:after="0"/>
              <w:rPr>
                <w:sz w:val="17"/>
                <w:szCs w:val="17"/>
                <w:color w:val="auto"/>
              </w:rPr>
            </w:pPr>
          </w:p>
        </w:tc>
      </w:tr>
      <w:tr>
        <w:trPr>
          <w:trHeight w:val="203"/>
        </w:trPr>
        <w:tc>
          <w:tcPr>
            <w:tcW w:w="20" w:type="dxa"/>
            <w:vAlign w:val="bottom"/>
          </w:tcPr>
          <w:p>
            <w:pPr>
              <w:spacing w:after="0"/>
              <w:rPr>
                <w:sz w:val="17"/>
                <w:szCs w:val="17"/>
                <w:color w:val="auto"/>
              </w:rPr>
            </w:pPr>
          </w:p>
        </w:tc>
        <w:tc>
          <w:tcPr>
            <w:tcW w:w="6140" w:type="dxa"/>
            <w:vAlign w:val="bottom"/>
          </w:tcPr>
          <w:p>
            <w:pPr>
              <w:ind w:left="260"/>
              <w:spacing w:after="0"/>
              <w:rPr>
                <w:sz w:val="20"/>
                <w:szCs w:val="20"/>
                <w:color w:val="auto"/>
              </w:rPr>
            </w:pPr>
            <w:r>
              <w:rPr>
                <w:rFonts w:ascii="Times New Roman" w:cs="Times New Roman" w:eastAsia="Times New Roman" w:hAnsi="Times New Roman"/>
                <w:sz w:val="16"/>
                <w:szCs w:val="16"/>
                <w:color w:val="auto"/>
              </w:rPr>
              <w:t>Write-off of equipment</w:t>
            </w:r>
          </w:p>
        </w:tc>
        <w:tc>
          <w:tcPr>
            <w:tcW w:w="13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121</w:t>
            </w: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215</w:t>
            </w:r>
          </w:p>
        </w:tc>
        <w:tc>
          <w:tcPr>
            <w:tcW w:w="80" w:type="dxa"/>
            <w:vAlign w:val="bottom"/>
          </w:tcPr>
          <w:p>
            <w:pPr>
              <w:spacing w:after="0"/>
              <w:rPr>
                <w:sz w:val="17"/>
                <w:szCs w:val="17"/>
                <w:color w:val="auto"/>
              </w:rPr>
            </w:pPr>
          </w:p>
        </w:tc>
      </w:tr>
      <w:tr>
        <w:trPr>
          <w:trHeight w:val="203"/>
        </w:trPr>
        <w:tc>
          <w:tcPr>
            <w:tcW w:w="20" w:type="dxa"/>
            <w:vAlign w:val="bottom"/>
          </w:tcPr>
          <w:p>
            <w:pPr>
              <w:spacing w:after="0"/>
              <w:rPr>
                <w:sz w:val="17"/>
                <w:szCs w:val="17"/>
                <w:color w:val="auto"/>
              </w:rPr>
            </w:pPr>
          </w:p>
        </w:tc>
        <w:tc>
          <w:tcPr>
            <w:tcW w:w="614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6"/>
                <w:szCs w:val="16"/>
                <w:color w:val="auto"/>
              </w:rPr>
              <w:t>Change in fair value of warrant liabilities</w:t>
            </w:r>
          </w:p>
        </w:tc>
        <w:tc>
          <w:tcPr>
            <w:tcW w:w="1300" w:type="dxa"/>
            <w:vAlign w:val="bottom"/>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120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6"/>
                <w:szCs w:val="16"/>
                <w:color w:val="auto"/>
              </w:rPr>
              <w:t>(825)</w:t>
            </w:r>
          </w:p>
        </w:tc>
        <w:tc>
          <w:tcPr>
            <w:tcW w:w="120" w:type="dxa"/>
            <w:vAlign w:val="bottom"/>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110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r>
      <w:tr>
        <w:trPr>
          <w:trHeight w:val="203"/>
        </w:trPr>
        <w:tc>
          <w:tcPr>
            <w:tcW w:w="20" w:type="dxa"/>
            <w:vAlign w:val="bottom"/>
          </w:tcPr>
          <w:p>
            <w:pPr>
              <w:spacing w:after="0"/>
              <w:rPr>
                <w:sz w:val="17"/>
                <w:szCs w:val="17"/>
                <w:color w:val="auto"/>
              </w:rPr>
            </w:pPr>
          </w:p>
        </w:tc>
        <w:tc>
          <w:tcPr>
            <w:tcW w:w="6140" w:type="dxa"/>
            <w:vAlign w:val="bottom"/>
          </w:tcPr>
          <w:p>
            <w:pPr>
              <w:ind w:left="260"/>
              <w:spacing w:after="0"/>
              <w:rPr>
                <w:sz w:val="20"/>
                <w:szCs w:val="20"/>
                <w:color w:val="auto"/>
              </w:rPr>
            </w:pPr>
            <w:r>
              <w:rPr>
                <w:rFonts w:ascii="Times New Roman" w:cs="Times New Roman" w:eastAsia="Times New Roman" w:hAnsi="Times New Roman"/>
                <w:sz w:val="16"/>
                <w:szCs w:val="16"/>
                <w:color w:val="auto"/>
              </w:rPr>
              <w:t>Other</w:t>
            </w:r>
          </w:p>
        </w:tc>
        <w:tc>
          <w:tcPr>
            <w:tcW w:w="13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27</w:t>
            </w: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10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(11)</w:t>
            </w:r>
          </w:p>
        </w:tc>
      </w:tr>
      <w:tr>
        <w:trPr>
          <w:trHeight w:val="203"/>
        </w:trPr>
        <w:tc>
          <w:tcPr>
            <w:tcW w:w="20" w:type="dxa"/>
            <w:vAlign w:val="bottom"/>
          </w:tcPr>
          <w:p>
            <w:pPr>
              <w:spacing w:after="0"/>
              <w:rPr>
                <w:sz w:val="17"/>
                <w:szCs w:val="17"/>
                <w:color w:val="auto"/>
              </w:rPr>
            </w:pPr>
          </w:p>
        </w:tc>
        <w:tc>
          <w:tcPr>
            <w:tcW w:w="614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6"/>
                <w:szCs w:val="16"/>
                <w:color w:val="auto"/>
              </w:rPr>
              <w:t>Changes in assets and liabilities</w:t>
            </w:r>
          </w:p>
        </w:tc>
        <w:tc>
          <w:tcPr>
            <w:tcW w:w="1300" w:type="dxa"/>
            <w:vAlign w:val="bottom"/>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104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102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r>
      <w:tr>
        <w:trPr>
          <w:trHeight w:val="203"/>
        </w:trPr>
        <w:tc>
          <w:tcPr>
            <w:tcW w:w="20" w:type="dxa"/>
            <w:vAlign w:val="bottom"/>
          </w:tcPr>
          <w:p>
            <w:pPr>
              <w:spacing w:after="0"/>
              <w:rPr>
                <w:sz w:val="17"/>
                <w:szCs w:val="17"/>
                <w:color w:val="auto"/>
              </w:rPr>
            </w:pPr>
          </w:p>
        </w:tc>
        <w:tc>
          <w:tcPr>
            <w:tcW w:w="6140" w:type="dxa"/>
            <w:vAlign w:val="bottom"/>
          </w:tcPr>
          <w:p>
            <w:pPr>
              <w:ind w:left="400"/>
              <w:spacing w:after="0"/>
              <w:rPr>
                <w:sz w:val="20"/>
                <w:szCs w:val="20"/>
                <w:color w:val="auto"/>
              </w:rPr>
            </w:pPr>
            <w:r>
              <w:rPr>
                <w:rFonts w:ascii="Times New Roman" w:cs="Times New Roman" w:eastAsia="Times New Roman" w:hAnsi="Times New Roman"/>
                <w:sz w:val="16"/>
                <w:szCs w:val="16"/>
                <w:color w:val="auto"/>
              </w:rPr>
              <w:t>Accounts receivable</w:t>
            </w:r>
          </w:p>
        </w:tc>
        <w:tc>
          <w:tcPr>
            <w:tcW w:w="13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702</w:t>
            </w: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10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(2,767)</w:t>
            </w:r>
          </w:p>
        </w:tc>
      </w:tr>
      <w:tr>
        <w:trPr>
          <w:trHeight w:val="203"/>
        </w:trPr>
        <w:tc>
          <w:tcPr>
            <w:tcW w:w="20" w:type="dxa"/>
            <w:vAlign w:val="bottom"/>
          </w:tcPr>
          <w:p>
            <w:pPr>
              <w:spacing w:after="0"/>
              <w:rPr>
                <w:sz w:val="17"/>
                <w:szCs w:val="17"/>
                <w:color w:val="auto"/>
              </w:rPr>
            </w:pPr>
          </w:p>
        </w:tc>
        <w:tc>
          <w:tcPr>
            <w:tcW w:w="6140" w:type="dxa"/>
            <w:vAlign w:val="bottom"/>
            <w:shd w:val="clear" w:color="auto" w:fill="CFF0FC"/>
          </w:tcPr>
          <w:p>
            <w:pPr>
              <w:ind w:left="400"/>
              <w:spacing w:after="0"/>
              <w:rPr>
                <w:sz w:val="20"/>
                <w:szCs w:val="20"/>
                <w:color w:val="auto"/>
              </w:rPr>
            </w:pPr>
            <w:r>
              <w:rPr>
                <w:rFonts w:ascii="Times New Roman" w:cs="Times New Roman" w:eastAsia="Times New Roman" w:hAnsi="Times New Roman"/>
                <w:sz w:val="16"/>
                <w:szCs w:val="16"/>
                <w:color w:val="auto"/>
              </w:rPr>
              <w:t>Unbilled receivables</w:t>
            </w:r>
          </w:p>
        </w:tc>
        <w:tc>
          <w:tcPr>
            <w:tcW w:w="1300" w:type="dxa"/>
            <w:vAlign w:val="bottom"/>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1,081</w:t>
            </w:r>
          </w:p>
        </w:tc>
        <w:tc>
          <w:tcPr>
            <w:tcW w:w="16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110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6"/>
                <w:szCs w:val="16"/>
                <w:color w:val="auto"/>
              </w:rPr>
              <w:t>(1,407)</w:t>
            </w:r>
          </w:p>
        </w:tc>
      </w:tr>
      <w:tr>
        <w:trPr>
          <w:trHeight w:val="203"/>
        </w:trPr>
        <w:tc>
          <w:tcPr>
            <w:tcW w:w="20" w:type="dxa"/>
            <w:vAlign w:val="bottom"/>
          </w:tcPr>
          <w:p>
            <w:pPr>
              <w:spacing w:after="0"/>
              <w:rPr>
                <w:sz w:val="17"/>
                <w:szCs w:val="17"/>
                <w:color w:val="auto"/>
              </w:rPr>
            </w:pPr>
          </w:p>
        </w:tc>
        <w:tc>
          <w:tcPr>
            <w:tcW w:w="6140" w:type="dxa"/>
            <w:vAlign w:val="bottom"/>
          </w:tcPr>
          <w:p>
            <w:pPr>
              <w:ind w:left="400"/>
              <w:spacing w:after="0"/>
              <w:rPr>
                <w:sz w:val="20"/>
                <w:szCs w:val="20"/>
                <w:color w:val="auto"/>
              </w:rPr>
            </w:pPr>
            <w:r>
              <w:rPr>
                <w:rFonts w:ascii="Times New Roman" w:cs="Times New Roman" w:eastAsia="Times New Roman" w:hAnsi="Times New Roman"/>
                <w:sz w:val="16"/>
                <w:szCs w:val="16"/>
                <w:color w:val="auto"/>
              </w:rPr>
              <w:t>Inventory</w:t>
            </w:r>
          </w:p>
        </w:tc>
        <w:tc>
          <w:tcPr>
            <w:tcW w:w="13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20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(1,475)</w:t>
            </w:r>
          </w:p>
        </w:tc>
        <w:tc>
          <w:tcPr>
            <w:tcW w:w="1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562</w:t>
            </w:r>
          </w:p>
        </w:tc>
        <w:tc>
          <w:tcPr>
            <w:tcW w:w="80" w:type="dxa"/>
            <w:vAlign w:val="bottom"/>
          </w:tcPr>
          <w:p>
            <w:pPr>
              <w:spacing w:after="0"/>
              <w:rPr>
                <w:sz w:val="17"/>
                <w:szCs w:val="17"/>
                <w:color w:val="auto"/>
              </w:rPr>
            </w:pPr>
          </w:p>
        </w:tc>
      </w:tr>
      <w:tr>
        <w:trPr>
          <w:trHeight w:val="203"/>
        </w:trPr>
        <w:tc>
          <w:tcPr>
            <w:tcW w:w="20" w:type="dxa"/>
            <w:vAlign w:val="bottom"/>
          </w:tcPr>
          <w:p>
            <w:pPr>
              <w:spacing w:after="0"/>
              <w:rPr>
                <w:sz w:val="17"/>
                <w:szCs w:val="17"/>
                <w:color w:val="auto"/>
              </w:rPr>
            </w:pPr>
          </w:p>
        </w:tc>
        <w:tc>
          <w:tcPr>
            <w:tcW w:w="6140" w:type="dxa"/>
            <w:vAlign w:val="bottom"/>
            <w:shd w:val="clear" w:color="auto" w:fill="CFF0FC"/>
          </w:tcPr>
          <w:p>
            <w:pPr>
              <w:ind w:left="400"/>
              <w:spacing w:after="0"/>
              <w:rPr>
                <w:sz w:val="20"/>
                <w:szCs w:val="20"/>
                <w:color w:val="auto"/>
              </w:rPr>
            </w:pPr>
            <w:r>
              <w:rPr>
                <w:rFonts w:ascii="Times New Roman" w:cs="Times New Roman" w:eastAsia="Times New Roman" w:hAnsi="Times New Roman"/>
                <w:sz w:val="16"/>
                <w:szCs w:val="16"/>
                <w:color w:val="auto"/>
              </w:rPr>
              <w:t>Prepaid expenses and other current assets</w:t>
            </w:r>
          </w:p>
        </w:tc>
        <w:tc>
          <w:tcPr>
            <w:tcW w:w="1300" w:type="dxa"/>
            <w:vAlign w:val="bottom"/>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436</w:t>
            </w:r>
          </w:p>
        </w:tc>
        <w:tc>
          <w:tcPr>
            <w:tcW w:w="16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110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6"/>
                <w:szCs w:val="16"/>
                <w:color w:val="auto"/>
              </w:rPr>
              <w:t>(222)</w:t>
            </w:r>
          </w:p>
        </w:tc>
      </w:tr>
      <w:tr>
        <w:trPr>
          <w:trHeight w:val="203"/>
        </w:trPr>
        <w:tc>
          <w:tcPr>
            <w:tcW w:w="20" w:type="dxa"/>
            <w:vAlign w:val="bottom"/>
          </w:tcPr>
          <w:p>
            <w:pPr>
              <w:spacing w:after="0"/>
              <w:rPr>
                <w:sz w:val="17"/>
                <w:szCs w:val="17"/>
                <w:color w:val="auto"/>
              </w:rPr>
            </w:pPr>
          </w:p>
        </w:tc>
        <w:tc>
          <w:tcPr>
            <w:tcW w:w="6140" w:type="dxa"/>
            <w:vAlign w:val="bottom"/>
          </w:tcPr>
          <w:p>
            <w:pPr>
              <w:ind w:left="400"/>
              <w:spacing w:after="0"/>
              <w:rPr>
                <w:sz w:val="20"/>
                <w:szCs w:val="20"/>
                <w:color w:val="auto"/>
              </w:rPr>
            </w:pPr>
            <w:r>
              <w:rPr>
                <w:rFonts w:ascii="Times New Roman" w:cs="Times New Roman" w:eastAsia="Times New Roman" w:hAnsi="Times New Roman"/>
                <w:sz w:val="16"/>
                <w:szCs w:val="16"/>
                <w:color w:val="auto"/>
              </w:rPr>
              <w:t>Prepaid inventory</w:t>
            </w:r>
          </w:p>
        </w:tc>
        <w:tc>
          <w:tcPr>
            <w:tcW w:w="13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20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693</w:t>
            </w:r>
          </w:p>
        </w:tc>
        <w:tc>
          <w:tcPr>
            <w:tcW w:w="80" w:type="dxa"/>
            <w:vAlign w:val="bottom"/>
          </w:tcPr>
          <w:p>
            <w:pPr>
              <w:spacing w:after="0"/>
              <w:rPr>
                <w:sz w:val="17"/>
                <w:szCs w:val="17"/>
                <w:color w:val="auto"/>
              </w:rPr>
            </w:pPr>
          </w:p>
        </w:tc>
      </w:tr>
      <w:tr>
        <w:trPr>
          <w:trHeight w:val="203"/>
        </w:trPr>
        <w:tc>
          <w:tcPr>
            <w:tcW w:w="20" w:type="dxa"/>
            <w:vAlign w:val="bottom"/>
          </w:tcPr>
          <w:p>
            <w:pPr>
              <w:spacing w:after="0"/>
              <w:rPr>
                <w:sz w:val="17"/>
                <w:szCs w:val="17"/>
                <w:color w:val="auto"/>
              </w:rPr>
            </w:pPr>
          </w:p>
        </w:tc>
        <w:tc>
          <w:tcPr>
            <w:tcW w:w="6140" w:type="dxa"/>
            <w:vAlign w:val="bottom"/>
            <w:shd w:val="clear" w:color="auto" w:fill="CFF0FC"/>
          </w:tcPr>
          <w:p>
            <w:pPr>
              <w:ind w:left="400"/>
              <w:spacing w:after="0"/>
              <w:rPr>
                <w:sz w:val="20"/>
                <w:szCs w:val="20"/>
                <w:color w:val="auto"/>
              </w:rPr>
            </w:pPr>
            <w:r>
              <w:rPr>
                <w:rFonts w:ascii="Times New Roman" w:cs="Times New Roman" w:eastAsia="Times New Roman" w:hAnsi="Times New Roman"/>
                <w:sz w:val="16"/>
                <w:szCs w:val="16"/>
                <w:color w:val="auto"/>
              </w:rPr>
              <w:t>Other long term assets</w:t>
            </w:r>
          </w:p>
        </w:tc>
        <w:tc>
          <w:tcPr>
            <w:tcW w:w="1300" w:type="dxa"/>
            <w:vAlign w:val="bottom"/>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240</w:t>
            </w:r>
          </w:p>
        </w:tc>
        <w:tc>
          <w:tcPr>
            <w:tcW w:w="16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325</w:t>
            </w:r>
          </w:p>
        </w:tc>
        <w:tc>
          <w:tcPr>
            <w:tcW w:w="80" w:type="dxa"/>
            <w:vAlign w:val="bottom"/>
            <w:shd w:val="clear" w:color="auto" w:fill="CFF0FC"/>
          </w:tcPr>
          <w:p>
            <w:pPr>
              <w:spacing w:after="0"/>
              <w:rPr>
                <w:sz w:val="17"/>
                <w:szCs w:val="17"/>
                <w:color w:val="auto"/>
              </w:rPr>
            </w:pPr>
          </w:p>
        </w:tc>
      </w:tr>
      <w:tr>
        <w:trPr>
          <w:trHeight w:val="203"/>
        </w:trPr>
        <w:tc>
          <w:tcPr>
            <w:tcW w:w="20" w:type="dxa"/>
            <w:vAlign w:val="bottom"/>
          </w:tcPr>
          <w:p>
            <w:pPr>
              <w:spacing w:after="0"/>
              <w:rPr>
                <w:sz w:val="17"/>
                <w:szCs w:val="17"/>
                <w:color w:val="auto"/>
              </w:rPr>
            </w:pPr>
          </w:p>
        </w:tc>
        <w:tc>
          <w:tcPr>
            <w:tcW w:w="6140" w:type="dxa"/>
            <w:vAlign w:val="bottom"/>
          </w:tcPr>
          <w:p>
            <w:pPr>
              <w:ind w:left="400"/>
              <w:spacing w:after="0"/>
              <w:rPr>
                <w:sz w:val="20"/>
                <w:szCs w:val="20"/>
                <w:color w:val="auto"/>
              </w:rPr>
            </w:pPr>
            <w:r>
              <w:rPr>
                <w:rFonts w:ascii="Times New Roman" w:cs="Times New Roman" w:eastAsia="Times New Roman" w:hAnsi="Times New Roman"/>
                <w:sz w:val="16"/>
                <w:szCs w:val="16"/>
                <w:color w:val="auto"/>
              </w:rPr>
              <w:t>Accounts payable</w:t>
            </w:r>
          </w:p>
        </w:tc>
        <w:tc>
          <w:tcPr>
            <w:tcW w:w="13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2,427</w:t>
            </w: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382</w:t>
            </w:r>
          </w:p>
        </w:tc>
        <w:tc>
          <w:tcPr>
            <w:tcW w:w="80" w:type="dxa"/>
            <w:vAlign w:val="bottom"/>
          </w:tcPr>
          <w:p>
            <w:pPr>
              <w:spacing w:after="0"/>
              <w:rPr>
                <w:sz w:val="17"/>
                <w:szCs w:val="17"/>
                <w:color w:val="auto"/>
              </w:rPr>
            </w:pPr>
          </w:p>
        </w:tc>
      </w:tr>
      <w:tr>
        <w:trPr>
          <w:trHeight w:val="203"/>
        </w:trPr>
        <w:tc>
          <w:tcPr>
            <w:tcW w:w="20" w:type="dxa"/>
            <w:vAlign w:val="bottom"/>
          </w:tcPr>
          <w:p>
            <w:pPr>
              <w:spacing w:after="0"/>
              <w:rPr>
                <w:sz w:val="17"/>
                <w:szCs w:val="17"/>
                <w:color w:val="auto"/>
              </w:rPr>
            </w:pPr>
          </w:p>
        </w:tc>
        <w:tc>
          <w:tcPr>
            <w:tcW w:w="6140" w:type="dxa"/>
            <w:vAlign w:val="bottom"/>
            <w:shd w:val="clear" w:color="auto" w:fill="CFF0FC"/>
          </w:tcPr>
          <w:p>
            <w:pPr>
              <w:ind w:left="400"/>
              <w:spacing w:after="0"/>
              <w:rPr>
                <w:sz w:val="20"/>
                <w:szCs w:val="20"/>
                <w:color w:val="auto"/>
              </w:rPr>
            </w:pPr>
            <w:r>
              <w:rPr>
                <w:rFonts w:ascii="Times New Roman" w:cs="Times New Roman" w:eastAsia="Times New Roman" w:hAnsi="Times New Roman"/>
                <w:sz w:val="16"/>
                <w:szCs w:val="16"/>
                <w:color w:val="auto"/>
              </w:rPr>
              <w:t>Deferred grant funding</w:t>
            </w:r>
          </w:p>
        </w:tc>
        <w:tc>
          <w:tcPr>
            <w:tcW w:w="1300" w:type="dxa"/>
            <w:vAlign w:val="bottom"/>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929</w:t>
            </w:r>
          </w:p>
        </w:tc>
        <w:tc>
          <w:tcPr>
            <w:tcW w:w="16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110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6"/>
                <w:szCs w:val="16"/>
                <w:color w:val="auto"/>
              </w:rPr>
              <w:t>(593)</w:t>
            </w:r>
          </w:p>
        </w:tc>
      </w:tr>
      <w:tr>
        <w:trPr>
          <w:trHeight w:val="203"/>
        </w:trPr>
        <w:tc>
          <w:tcPr>
            <w:tcW w:w="20" w:type="dxa"/>
            <w:vAlign w:val="bottom"/>
          </w:tcPr>
          <w:p>
            <w:pPr>
              <w:spacing w:after="0"/>
              <w:rPr>
                <w:sz w:val="17"/>
                <w:szCs w:val="17"/>
                <w:color w:val="auto"/>
              </w:rPr>
            </w:pPr>
          </w:p>
        </w:tc>
        <w:tc>
          <w:tcPr>
            <w:tcW w:w="6140" w:type="dxa"/>
            <w:vAlign w:val="bottom"/>
          </w:tcPr>
          <w:p>
            <w:pPr>
              <w:ind w:left="400"/>
              <w:spacing w:after="0"/>
              <w:rPr>
                <w:sz w:val="20"/>
                <w:szCs w:val="20"/>
                <w:color w:val="auto"/>
              </w:rPr>
            </w:pPr>
            <w:r>
              <w:rPr>
                <w:rFonts w:ascii="Times New Roman" w:cs="Times New Roman" w:eastAsia="Times New Roman" w:hAnsi="Times New Roman"/>
                <w:sz w:val="16"/>
                <w:szCs w:val="16"/>
                <w:color w:val="auto"/>
              </w:rPr>
              <w:t>Deferred revenue</w:t>
            </w:r>
          </w:p>
        </w:tc>
        <w:tc>
          <w:tcPr>
            <w:tcW w:w="13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20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(241)</w:t>
            </w:r>
          </w:p>
        </w:tc>
        <w:tc>
          <w:tcPr>
            <w:tcW w:w="1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93</w:t>
            </w:r>
          </w:p>
        </w:tc>
        <w:tc>
          <w:tcPr>
            <w:tcW w:w="80" w:type="dxa"/>
            <w:vAlign w:val="bottom"/>
          </w:tcPr>
          <w:p>
            <w:pPr>
              <w:spacing w:after="0"/>
              <w:rPr>
                <w:sz w:val="17"/>
                <w:szCs w:val="17"/>
                <w:color w:val="auto"/>
              </w:rPr>
            </w:pPr>
          </w:p>
        </w:tc>
      </w:tr>
      <w:tr>
        <w:trPr>
          <w:trHeight w:val="202"/>
        </w:trPr>
        <w:tc>
          <w:tcPr>
            <w:tcW w:w="20" w:type="dxa"/>
            <w:vAlign w:val="bottom"/>
          </w:tcPr>
          <w:p>
            <w:pPr>
              <w:spacing w:after="0"/>
              <w:rPr>
                <w:sz w:val="17"/>
                <w:szCs w:val="17"/>
                <w:color w:val="auto"/>
              </w:rPr>
            </w:pPr>
          </w:p>
        </w:tc>
        <w:tc>
          <w:tcPr>
            <w:tcW w:w="6140" w:type="dxa"/>
            <w:vAlign w:val="bottom"/>
            <w:shd w:val="clear" w:color="auto" w:fill="CFF0FC"/>
          </w:tcPr>
          <w:p>
            <w:pPr>
              <w:ind w:left="400"/>
              <w:spacing w:after="0"/>
              <w:rPr>
                <w:sz w:val="20"/>
                <w:szCs w:val="20"/>
                <w:color w:val="auto"/>
              </w:rPr>
            </w:pPr>
            <w:r>
              <w:rPr>
                <w:rFonts w:ascii="Times New Roman" w:cs="Times New Roman" w:eastAsia="Times New Roman" w:hAnsi="Times New Roman"/>
                <w:sz w:val="16"/>
                <w:szCs w:val="16"/>
                <w:color w:val="auto"/>
              </w:rPr>
              <w:t>Due to related parties</w:t>
            </w:r>
          </w:p>
        </w:tc>
        <w:tc>
          <w:tcPr>
            <w:tcW w:w="1300" w:type="dxa"/>
            <w:vAlign w:val="bottom"/>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120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6"/>
                <w:szCs w:val="16"/>
                <w:color w:val="auto"/>
              </w:rPr>
              <w:t>(11)</w:t>
            </w:r>
          </w:p>
        </w:tc>
        <w:tc>
          <w:tcPr>
            <w:tcW w:w="120" w:type="dxa"/>
            <w:vAlign w:val="bottom"/>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110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r>
      <w:tr>
        <w:trPr>
          <w:trHeight w:val="203"/>
        </w:trPr>
        <w:tc>
          <w:tcPr>
            <w:tcW w:w="20" w:type="dxa"/>
            <w:vAlign w:val="bottom"/>
          </w:tcPr>
          <w:p>
            <w:pPr>
              <w:spacing w:after="0"/>
              <w:rPr>
                <w:sz w:val="17"/>
                <w:szCs w:val="17"/>
                <w:color w:val="auto"/>
              </w:rPr>
            </w:pPr>
          </w:p>
        </w:tc>
        <w:tc>
          <w:tcPr>
            <w:tcW w:w="6140" w:type="dxa"/>
            <w:vAlign w:val="bottom"/>
          </w:tcPr>
          <w:p>
            <w:pPr>
              <w:ind w:left="400"/>
              <w:spacing w:after="0"/>
              <w:rPr>
                <w:sz w:val="20"/>
                <w:szCs w:val="20"/>
                <w:color w:val="auto"/>
              </w:rPr>
            </w:pPr>
            <w:r>
              <w:rPr>
                <w:rFonts w:ascii="Times New Roman" w:cs="Times New Roman" w:eastAsia="Times New Roman" w:hAnsi="Times New Roman"/>
                <w:sz w:val="16"/>
                <w:szCs w:val="16"/>
                <w:color w:val="auto"/>
              </w:rPr>
              <w:t>Accrued expenses and other current liabilities</w:t>
            </w:r>
          </w:p>
        </w:tc>
        <w:tc>
          <w:tcPr>
            <w:tcW w:w="13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332</w:t>
            </w: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10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(683)</w:t>
            </w:r>
          </w:p>
        </w:tc>
      </w:tr>
      <w:tr>
        <w:trPr>
          <w:trHeight w:val="203"/>
        </w:trPr>
        <w:tc>
          <w:tcPr>
            <w:tcW w:w="20" w:type="dxa"/>
            <w:vAlign w:val="bottom"/>
          </w:tcPr>
          <w:p>
            <w:pPr>
              <w:spacing w:after="0"/>
              <w:rPr>
                <w:sz w:val="17"/>
                <w:szCs w:val="17"/>
                <w:color w:val="auto"/>
              </w:rPr>
            </w:pPr>
          </w:p>
        </w:tc>
        <w:tc>
          <w:tcPr>
            <w:tcW w:w="6140" w:type="dxa"/>
            <w:vAlign w:val="bottom"/>
            <w:shd w:val="clear" w:color="auto" w:fill="CFF0FC"/>
          </w:tcPr>
          <w:p>
            <w:pPr>
              <w:ind w:left="400"/>
              <w:spacing w:after="0"/>
              <w:rPr>
                <w:sz w:val="20"/>
                <w:szCs w:val="20"/>
                <w:color w:val="auto"/>
              </w:rPr>
            </w:pPr>
            <w:r>
              <w:rPr>
                <w:rFonts w:ascii="Times New Roman" w:cs="Times New Roman" w:eastAsia="Times New Roman" w:hAnsi="Times New Roman"/>
                <w:sz w:val="16"/>
                <w:szCs w:val="16"/>
                <w:color w:val="auto"/>
              </w:rPr>
              <w:t>Operating lease liabilities, net</w:t>
            </w:r>
          </w:p>
        </w:tc>
        <w:tc>
          <w:tcPr>
            <w:tcW w:w="1300" w:type="dxa"/>
            <w:vAlign w:val="bottom"/>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120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6"/>
                <w:szCs w:val="16"/>
                <w:color w:val="auto"/>
              </w:rPr>
              <w:t>(8)</w:t>
            </w:r>
          </w:p>
        </w:tc>
        <w:tc>
          <w:tcPr>
            <w:tcW w:w="120" w:type="dxa"/>
            <w:vAlign w:val="bottom"/>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110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6"/>
                <w:szCs w:val="16"/>
                <w:color w:val="auto"/>
              </w:rPr>
              <w:t>(5)</w:t>
            </w:r>
          </w:p>
        </w:tc>
      </w:tr>
      <w:tr>
        <w:trPr>
          <w:trHeight w:val="20"/>
        </w:trPr>
        <w:tc>
          <w:tcPr>
            <w:tcW w:w="20" w:type="dxa"/>
            <w:vAlign w:val="bottom"/>
          </w:tcPr>
          <w:p>
            <w:pPr>
              <w:spacing w:after="0" w:line="20" w:lineRule="exact"/>
              <w:rPr>
                <w:sz w:val="1"/>
                <w:szCs w:val="1"/>
                <w:color w:val="auto"/>
              </w:rPr>
            </w:pPr>
          </w:p>
        </w:tc>
        <w:tc>
          <w:tcPr>
            <w:tcW w:w="6140" w:type="dxa"/>
            <w:vAlign w:val="bottom"/>
            <w:shd w:val="clear" w:color="auto" w:fill="CFF0FC"/>
          </w:tcPr>
          <w:p>
            <w:pPr>
              <w:spacing w:after="0" w:line="20" w:lineRule="exact"/>
              <w:rPr>
                <w:sz w:val="1"/>
                <w:szCs w:val="1"/>
                <w:color w:val="auto"/>
              </w:rPr>
            </w:pPr>
          </w:p>
        </w:tc>
        <w:tc>
          <w:tcPr>
            <w:tcW w:w="1300" w:type="dxa"/>
            <w:vAlign w:val="bottom"/>
            <w:shd w:val="clear" w:color="auto" w:fill="CFF0FC"/>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160" w:type="dxa"/>
            <w:vAlign w:val="bottom"/>
            <w:shd w:val="clear" w:color="auto" w:fill="CFF0FC"/>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80" w:type="dxa"/>
            <w:vAlign w:val="bottom"/>
            <w:shd w:val="clear" w:color="auto" w:fill="CFF0FC"/>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5834380</wp:posOffset>
            </wp:positionH>
            <wp:positionV relativeFrom="paragraph">
              <wp:posOffset>-7620</wp:posOffset>
            </wp:positionV>
            <wp:extent cx="68580" cy="825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6828790</wp:posOffset>
            </wp:positionH>
            <wp:positionV relativeFrom="paragraph">
              <wp:posOffset>-7620</wp:posOffset>
            </wp:positionV>
            <wp:extent cx="59690" cy="825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59690" cy="8255"/>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203"/>
        </w:trPr>
        <w:tc>
          <w:tcPr>
            <w:tcW w:w="420" w:type="dxa"/>
            <w:vAlign w:val="bottom"/>
          </w:tcPr>
          <w:p>
            <w:pPr>
              <w:spacing w:after="0"/>
              <w:rPr>
                <w:sz w:val="17"/>
                <w:szCs w:val="17"/>
                <w:color w:val="auto"/>
              </w:rPr>
            </w:pPr>
          </w:p>
        </w:tc>
        <w:tc>
          <w:tcPr>
            <w:tcW w:w="7000" w:type="dxa"/>
            <w:vAlign w:val="bottom"/>
          </w:tcPr>
          <w:p>
            <w:pPr>
              <w:ind w:left="520"/>
              <w:spacing w:after="0"/>
              <w:rPr>
                <w:sz w:val="20"/>
                <w:szCs w:val="20"/>
                <w:color w:val="auto"/>
              </w:rPr>
            </w:pPr>
            <w:r>
              <w:rPr>
                <w:rFonts w:ascii="Times New Roman" w:cs="Times New Roman" w:eastAsia="Times New Roman" w:hAnsi="Times New Roman"/>
                <w:sz w:val="16"/>
                <w:szCs w:val="16"/>
                <w:b w:val="1"/>
                <w:bCs w:val="1"/>
                <w:color w:val="auto"/>
              </w:rPr>
              <w:t>Net cash used in operating activities</w:t>
            </w:r>
          </w:p>
        </w:tc>
        <w:tc>
          <w:tcPr>
            <w:tcW w:w="880" w:type="dxa"/>
            <w:vAlign w:val="bottom"/>
            <w:gridSpan w:val="2"/>
          </w:tcPr>
          <w:p>
            <w:pPr>
              <w:jc w:val="right"/>
              <w:ind w:right="360"/>
              <w:spacing w:after="0"/>
              <w:rPr>
                <w:sz w:val="20"/>
                <w:szCs w:val="20"/>
                <w:color w:val="auto"/>
              </w:rPr>
            </w:pPr>
            <w:r>
              <w:rPr>
                <w:rFonts w:ascii="Times New Roman" w:cs="Times New Roman" w:eastAsia="Times New Roman" w:hAnsi="Times New Roman"/>
                <w:sz w:val="16"/>
                <w:szCs w:val="16"/>
                <w:b w:val="1"/>
                <w:bCs w:val="1"/>
                <w:color w:val="auto"/>
              </w:rPr>
              <w:t>$</w:t>
            </w:r>
          </w:p>
        </w:tc>
        <w:tc>
          <w:tcPr>
            <w:tcW w:w="104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b w:val="1"/>
                <w:bCs w:val="1"/>
                <w:color w:val="auto"/>
              </w:rPr>
              <w:t>(27,948)</w:t>
            </w:r>
          </w:p>
        </w:tc>
        <w:tc>
          <w:tcPr>
            <w:tcW w:w="540" w:type="dxa"/>
            <w:vAlign w:val="bottom"/>
            <w:gridSpan w:val="2"/>
          </w:tcPr>
          <w:p>
            <w:pPr>
              <w:jc w:val="right"/>
              <w:ind w:right="340"/>
              <w:spacing w:after="0"/>
              <w:rPr>
                <w:sz w:val="20"/>
                <w:szCs w:val="20"/>
                <w:color w:val="auto"/>
              </w:rPr>
            </w:pPr>
            <w:r>
              <w:rPr>
                <w:rFonts w:ascii="Times New Roman" w:cs="Times New Roman" w:eastAsia="Times New Roman" w:hAnsi="Times New Roman"/>
                <w:sz w:val="16"/>
                <w:szCs w:val="16"/>
                <w:b w:val="1"/>
                <w:bCs w:val="1"/>
                <w:color w:val="auto"/>
              </w:rPr>
              <w:t>$</w:t>
            </w:r>
          </w:p>
        </w:tc>
        <w:tc>
          <w:tcPr>
            <w:tcW w:w="96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b w:val="1"/>
                <w:bCs w:val="1"/>
                <w:color w:val="auto"/>
              </w:rPr>
              <w:t>(38,767)</w:t>
            </w:r>
          </w:p>
        </w:tc>
        <w:tc>
          <w:tcPr>
            <w:tcW w:w="4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420" w:type="dxa"/>
            <w:vAlign w:val="bottom"/>
          </w:tcPr>
          <w:p>
            <w:pPr>
              <w:spacing w:after="0"/>
              <w:rPr>
                <w:sz w:val="17"/>
                <w:szCs w:val="17"/>
                <w:color w:val="auto"/>
              </w:rPr>
            </w:pPr>
          </w:p>
        </w:tc>
        <w:tc>
          <w:tcPr>
            <w:tcW w:w="700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b w:val="1"/>
                <w:bCs w:val="1"/>
                <w:color w:val="auto"/>
              </w:rPr>
              <w:t>Cash flows from investing activities:</w:t>
            </w:r>
          </w:p>
        </w:tc>
        <w:tc>
          <w:tcPr>
            <w:tcW w:w="440" w:type="dxa"/>
            <w:vAlign w:val="bottom"/>
            <w:shd w:val="clear" w:color="auto" w:fill="CFF0FC"/>
          </w:tcPr>
          <w:p>
            <w:pPr>
              <w:spacing w:after="0"/>
              <w:rPr>
                <w:sz w:val="17"/>
                <w:szCs w:val="17"/>
                <w:color w:val="auto"/>
              </w:rPr>
            </w:pPr>
          </w:p>
        </w:tc>
        <w:tc>
          <w:tcPr>
            <w:tcW w:w="440" w:type="dxa"/>
            <w:vAlign w:val="bottom"/>
            <w:tcBorders>
              <w:top w:val="single" w:sz="8" w:color="auto"/>
            </w:tcBorders>
            <w:shd w:val="clear" w:color="auto" w:fill="CFF0FC"/>
          </w:tcPr>
          <w:p>
            <w:pPr>
              <w:spacing w:after="0"/>
              <w:rPr>
                <w:sz w:val="17"/>
                <w:szCs w:val="17"/>
                <w:color w:val="auto"/>
              </w:rPr>
            </w:pPr>
          </w:p>
        </w:tc>
        <w:tc>
          <w:tcPr>
            <w:tcW w:w="880" w:type="dxa"/>
            <w:vAlign w:val="bottom"/>
            <w:tcBorders>
              <w:top w:val="single" w:sz="8" w:color="auto"/>
            </w:tcBorders>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420" w:type="dxa"/>
            <w:vAlign w:val="bottom"/>
            <w:tcBorders>
              <w:top w:val="single" w:sz="8" w:color="auto"/>
            </w:tcBorders>
            <w:shd w:val="clear" w:color="auto" w:fill="CFF0FC"/>
          </w:tcPr>
          <w:p>
            <w:pPr>
              <w:spacing w:after="0"/>
              <w:rPr>
                <w:sz w:val="17"/>
                <w:szCs w:val="17"/>
                <w:color w:val="auto"/>
              </w:rPr>
            </w:pPr>
          </w:p>
        </w:tc>
        <w:tc>
          <w:tcPr>
            <w:tcW w:w="880" w:type="dxa"/>
            <w:vAlign w:val="bottom"/>
            <w:tcBorders>
              <w:top w:val="single" w:sz="8" w:color="auto"/>
            </w:tcBorders>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4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20" w:type="dxa"/>
            <w:vAlign w:val="bottom"/>
          </w:tcPr>
          <w:p>
            <w:pPr>
              <w:spacing w:after="0"/>
              <w:rPr>
                <w:sz w:val="17"/>
                <w:szCs w:val="17"/>
                <w:color w:val="auto"/>
              </w:rPr>
            </w:pPr>
          </w:p>
        </w:tc>
        <w:tc>
          <w:tcPr>
            <w:tcW w:w="700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Purchases of property and equipment</w:t>
            </w:r>
          </w:p>
        </w:tc>
        <w:tc>
          <w:tcPr>
            <w:tcW w:w="44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04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(1,185)</w:t>
            </w:r>
          </w:p>
        </w:tc>
        <w:tc>
          <w:tcPr>
            <w:tcW w:w="1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96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(383)</w:t>
            </w:r>
          </w:p>
        </w:tc>
        <w:tc>
          <w:tcPr>
            <w:tcW w:w="4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420" w:type="dxa"/>
            <w:vAlign w:val="bottom"/>
          </w:tcPr>
          <w:p>
            <w:pPr>
              <w:spacing w:after="0" w:line="20" w:lineRule="exact"/>
              <w:rPr>
                <w:sz w:val="1"/>
                <w:szCs w:val="1"/>
                <w:color w:val="auto"/>
              </w:rPr>
            </w:pPr>
          </w:p>
        </w:tc>
        <w:tc>
          <w:tcPr>
            <w:tcW w:w="70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420" w:type="dxa"/>
            <w:vAlign w:val="bottom"/>
          </w:tcPr>
          <w:p>
            <w:pPr>
              <w:spacing w:after="0"/>
              <w:rPr>
                <w:sz w:val="17"/>
                <w:szCs w:val="17"/>
                <w:color w:val="auto"/>
              </w:rPr>
            </w:pPr>
          </w:p>
        </w:tc>
        <w:tc>
          <w:tcPr>
            <w:tcW w:w="700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6"/>
                <w:szCs w:val="16"/>
                <w:b w:val="1"/>
                <w:bCs w:val="1"/>
                <w:color w:val="auto"/>
              </w:rPr>
              <w:t>Net cash used in investing activities</w:t>
            </w:r>
          </w:p>
        </w:tc>
        <w:tc>
          <w:tcPr>
            <w:tcW w:w="880" w:type="dxa"/>
            <w:vAlign w:val="bottom"/>
            <w:gridSpan w:val="2"/>
            <w:shd w:val="clear" w:color="auto" w:fill="CFF0FC"/>
          </w:tcPr>
          <w:p>
            <w:pPr>
              <w:jc w:val="right"/>
              <w:ind w:right="360"/>
              <w:spacing w:after="0"/>
              <w:rPr>
                <w:sz w:val="20"/>
                <w:szCs w:val="20"/>
                <w:color w:val="auto"/>
              </w:rPr>
            </w:pPr>
            <w:r>
              <w:rPr>
                <w:rFonts w:ascii="Times New Roman" w:cs="Times New Roman" w:eastAsia="Times New Roman" w:hAnsi="Times New Roman"/>
                <w:sz w:val="16"/>
                <w:szCs w:val="16"/>
                <w:b w:val="1"/>
                <w:bCs w:val="1"/>
                <w:color w:val="auto"/>
              </w:rPr>
              <w:t>$</w:t>
            </w:r>
          </w:p>
        </w:tc>
        <w:tc>
          <w:tcPr>
            <w:tcW w:w="104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6"/>
                <w:szCs w:val="16"/>
                <w:b w:val="1"/>
                <w:bCs w:val="1"/>
                <w:color w:val="auto"/>
              </w:rPr>
              <w:t>(1,185)</w:t>
            </w:r>
          </w:p>
        </w:tc>
        <w:tc>
          <w:tcPr>
            <w:tcW w:w="540" w:type="dxa"/>
            <w:vAlign w:val="bottom"/>
            <w:gridSpan w:val="2"/>
            <w:shd w:val="clear" w:color="auto" w:fill="CFF0FC"/>
          </w:tcPr>
          <w:p>
            <w:pPr>
              <w:jc w:val="right"/>
              <w:ind w:right="340"/>
              <w:spacing w:after="0"/>
              <w:rPr>
                <w:sz w:val="20"/>
                <w:szCs w:val="20"/>
                <w:color w:val="auto"/>
              </w:rPr>
            </w:pPr>
            <w:r>
              <w:rPr>
                <w:rFonts w:ascii="Times New Roman" w:cs="Times New Roman" w:eastAsia="Times New Roman" w:hAnsi="Times New Roman"/>
                <w:sz w:val="16"/>
                <w:szCs w:val="16"/>
                <w:b w:val="1"/>
                <w:bCs w:val="1"/>
                <w:color w:val="auto"/>
              </w:rPr>
              <w:t>$</w:t>
            </w:r>
          </w:p>
        </w:tc>
        <w:tc>
          <w:tcPr>
            <w:tcW w:w="96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6"/>
                <w:szCs w:val="16"/>
                <w:b w:val="1"/>
                <w:bCs w:val="1"/>
                <w:color w:val="auto"/>
              </w:rPr>
              <w:t>(383)</w:t>
            </w:r>
          </w:p>
        </w:tc>
        <w:tc>
          <w:tcPr>
            <w:tcW w:w="4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420" w:type="dxa"/>
            <w:vAlign w:val="bottom"/>
          </w:tcPr>
          <w:p>
            <w:pPr>
              <w:spacing w:after="0"/>
              <w:rPr>
                <w:sz w:val="17"/>
                <w:szCs w:val="17"/>
                <w:color w:val="auto"/>
              </w:rPr>
            </w:pPr>
          </w:p>
        </w:tc>
        <w:tc>
          <w:tcPr>
            <w:tcW w:w="7000" w:type="dxa"/>
            <w:vAlign w:val="bottom"/>
            <w:tcBorders>
              <w:top w:val="single" w:sz="8" w:color="CFF0FC"/>
            </w:tcBorders>
          </w:tcPr>
          <w:p>
            <w:pPr>
              <w:spacing w:after="0"/>
              <w:rPr>
                <w:sz w:val="20"/>
                <w:szCs w:val="20"/>
                <w:color w:val="auto"/>
              </w:rPr>
            </w:pPr>
            <w:r>
              <w:rPr>
                <w:rFonts w:ascii="Times New Roman" w:cs="Times New Roman" w:eastAsia="Times New Roman" w:hAnsi="Times New Roman"/>
                <w:sz w:val="16"/>
                <w:szCs w:val="16"/>
                <w:b w:val="1"/>
                <w:bCs w:val="1"/>
                <w:color w:val="auto"/>
              </w:rPr>
              <w:t>Cash flows from financing activities:</w:t>
            </w:r>
          </w:p>
        </w:tc>
        <w:tc>
          <w:tcPr>
            <w:tcW w:w="440" w:type="dxa"/>
            <w:vAlign w:val="bottom"/>
            <w:tcBorders>
              <w:top w:val="single" w:sz="8" w:color="CFF0FC"/>
            </w:tcBorders>
          </w:tcPr>
          <w:p>
            <w:pPr>
              <w:spacing w:after="0"/>
              <w:rPr>
                <w:sz w:val="17"/>
                <w:szCs w:val="17"/>
                <w:color w:val="auto"/>
              </w:rPr>
            </w:pPr>
          </w:p>
        </w:tc>
        <w:tc>
          <w:tcPr>
            <w:tcW w:w="440" w:type="dxa"/>
            <w:vAlign w:val="bottom"/>
            <w:tcBorders>
              <w:top w:val="single" w:sz="8" w:color="auto"/>
            </w:tcBorders>
          </w:tcPr>
          <w:p>
            <w:pPr>
              <w:spacing w:after="0"/>
              <w:rPr>
                <w:sz w:val="17"/>
                <w:szCs w:val="17"/>
                <w:color w:val="auto"/>
              </w:rPr>
            </w:pPr>
          </w:p>
        </w:tc>
        <w:tc>
          <w:tcPr>
            <w:tcW w:w="880" w:type="dxa"/>
            <w:vAlign w:val="bottom"/>
            <w:tcBorders>
              <w:top w:val="single" w:sz="8" w:color="auto"/>
            </w:tcBorders>
          </w:tcPr>
          <w:p>
            <w:pPr>
              <w:spacing w:after="0"/>
              <w:rPr>
                <w:sz w:val="17"/>
                <w:szCs w:val="17"/>
                <w:color w:val="auto"/>
              </w:rPr>
            </w:pPr>
          </w:p>
        </w:tc>
        <w:tc>
          <w:tcPr>
            <w:tcW w:w="160" w:type="dxa"/>
            <w:vAlign w:val="bottom"/>
            <w:tcBorders>
              <w:top w:val="single" w:sz="8" w:color="CFF0FC"/>
            </w:tcBorders>
          </w:tcPr>
          <w:p>
            <w:pPr>
              <w:spacing w:after="0"/>
              <w:rPr>
                <w:sz w:val="17"/>
                <w:szCs w:val="17"/>
                <w:color w:val="auto"/>
              </w:rPr>
            </w:pPr>
          </w:p>
        </w:tc>
        <w:tc>
          <w:tcPr>
            <w:tcW w:w="120" w:type="dxa"/>
            <w:vAlign w:val="bottom"/>
            <w:tcBorders>
              <w:top w:val="single" w:sz="8" w:color="CFF0FC"/>
            </w:tcBorders>
          </w:tcPr>
          <w:p>
            <w:pPr>
              <w:spacing w:after="0"/>
              <w:rPr>
                <w:sz w:val="17"/>
                <w:szCs w:val="17"/>
                <w:color w:val="auto"/>
              </w:rPr>
            </w:pPr>
          </w:p>
        </w:tc>
        <w:tc>
          <w:tcPr>
            <w:tcW w:w="420" w:type="dxa"/>
            <w:vAlign w:val="bottom"/>
            <w:tcBorders>
              <w:top w:val="single" w:sz="8" w:color="auto"/>
            </w:tcBorders>
          </w:tcPr>
          <w:p>
            <w:pPr>
              <w:spacing w:after="0"/>
              <w:rPr>
                <w:sz w:val="17"/>
                <w:szCs w:val="17"/>
                <w:color w:val="auto"/>
              </w:rPr>
            </w:pPr>
          </w:p>
        </w:tc>
        <w:tc>
          <w:tcPr>
            <w:tcW w:w="880" w:type="dxa"/>
            <w:vAlign w:val="bottom"/>
            <w:tcBorders>
              <w:top w:val="single" w:sz="8" w:color="auto"/>
            </w:tcBorders>
          </w:tcPr>
          <w:p>
            <w:pPr>
              <w:spacing w:after="0"/>
              <w:rPr>
                <w:sz w:val="17"/>
                <w:szCs w:val="17"/>
                <w:color w:val="auto"/>
              </w:rPr>
            </w:pPr>
          </w:p>
        </w:tc>
        <w:tc>
          <w:tcPr>
            <w:tcW w:w="80" w:type="dxa"/>
            <w:vAlign w:val="bottom"/>
            <w:tcBorders>
              <w:top w:val="single" w:sz="8" w:color="CFF0FC"/>
            </w:tcBorders>
          </w:tcPr>
          <w:p>
            <w:pPr>
              <w:spacing w:after="0"/>
              <w:rPr>
                <w:sz w:val="17"/>
                <w:szCs w:val="17"/>
                <w:color w:val="auto"/>
              </w:rPr>
            </w:pPr>
          </w:p>
        </w:tc>
        <w:tc>
          <w:tcPr>
            <w:tcW w:w="4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20" w:type="dxa"/>
            <w:vAlign w:val="bottom"/>
          </w:tcPr>
          <w:p>
            <w:pPr>
              <w:spacing w:after="0"/>
              <w:rPr>
                <w:sz w:val="17"/>
                <w:szCs w:val="17"/>
                <w:color w:val="auto"/>
              </w:rPr>
            </w:pPr>
          </w:p>
        </w:tc>
        <w:tc>
          <w:tcPr>
            <w:tcW w:w="700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6"/>
                <w:szCs w:val="16"/>
                <w:color w:val="auto"/>
              </w:rPr>
              <w:t>Proceeds from exercise of stock options</w:t>
            </w:r>
          </w:p>
        </w:tc>
        <w:tc>
          <w:tcPr>
            <w:tcW w:w="880" w:type="dxa"/>
            <w:vAlign w:val="bottom"/>
            <w:gridSpan w:val="2"/>
            <w:shd w:val="clear" w:color="auto" w:fill="CFF0FC"/>
          </w:tcPr>
          <w:p>
            <w:pPr>
              <w:jc w:val="right"/>
              <w:ind w:right="360"/>
              <w:spacing w:after="0"/>
              <w:rPr>
                <w:sz w:val="20"/>
                <w:szCs w:val="20"/>
                <w:color w:val="auto"/>
              </w:rPr>
            </w:pPr>
            <w:r>
              <w:rPr>
                <w:rFonts w:ascii="Times New Roman" w:cs="Times New Roman" w:eastAsia="Times New Roman" w:hAnsi="Times New Roman"/>
                <w:sz w:val="16"/>
                <w:szCs w:val="16"/>
                <w:color w:val="auto"/>
              </w:rPr>
              <w:t>$</w:t>
            </w: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156</w:t>
            </w:r>
          </w:p>
        </w:tc>
        <w:tc>
          <w:tcPr>
            <w:tcW w:w="160" w:type="dxa"/>
            <w:vAlign w:val="bottom"/>
            <w:shd w:val="clear" w:color="auto" w:fill="CFF0FC"/>
          </w:tcPr>
          <w:p>
            <w:pPr>
              <w:spacing w:after="0"/>
              <w:rPr>
                <w:sz w:val="17"/>
                <w:szCs w:val="17"/>
                <w:color w:val="auto"/>
              </w:rPr>
            </w:pPr>
          </w:p>
        </w:tc>
        <w:tc>
          <w:tcPr>
            <w:tcW w:w="540" w:type="dxa"/>
            <w:vAlign w:val="bottom"/>
            <w:gridSpan w:val="2"/>
            <w:shd w:val="clear" w:color="auto" w:fill="CFF0FC"/>
          </w:tcPr>
          <w:p>
            <w:pPr>
              <w:jc w:val="right"/>
              <w:ind w:right="340"/>
              <w:spacing w:after="0"/>
              <w:rPr>
                <w:sz w:val="20"/>
                <w:szCs w:val="20"/>
                <w:color w:val="auto"/>
              </w:rPr>
            </w:pPr>
            <w:r>
              <w:rPr>
                <w:rFonts w:ascii="Times New Roman" w:cs="Times New Roman" w:eastAsia="Times New Roman" w:hAnsi="Times New Roman"/>
                <w:sz w:val="16"/>
                <w:szCs w:val="16"/>
                <w:color w:val="auto"/>
              </w:rPr>
              <w:t>$</w:t>
            </w: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171</w:t>
            </w:r>
          </w:p>
        </w:tc>
        <w:tc>
          <w:tcPr>
            <w:tcW w:w="80" w:type="dxa"/>
            <w:vAlign w:val="bottom"/>
            <w:shd w:val="clear" w:color="auto" w:fill="CFF0FC"/>
          </w:tcPr>
          <w:p>
            <w:pPr>
              <w:spacing w:after="0"/>
              <w:rPr>
                <w:sz w:val="17"/>
                <w:szCs w:val="17"/>
                <w:color w:val="auto"/>
              </w:rPr>
            </w:pPr>
          </w:p>
        </w:tc>
        <w:tc>
          <w:tcPr>
            <w:tcW w:w="4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20" w:type="dxa"/>
            <w:vAlign w:val="bottom"/>
          </w:tcPr>
          <w:p>
            <w:pPr>
              <w:spacing w:after="0"/>
              <w:rPr>
                <w:sz w:val="17"/>
                <w:szCs w:val="17"/>
                <w:color w:val="auto"/>
              </w:rPr>
            </w:pPr>
          </w:p>
        </w:tc>
        <w:tc>
          <w:tcPr>
            <w:tcW w:w="700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Proceeds from issuance of Class A common stock under “at-the-market” offering program, net</w:t>
            </w:r>
          </w:p>
        </w:tc>
        <w:tc>
          <w:tcPr>
            <w:tcW w:w="44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3,383</w:t>
            </w: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848</w:t>
            </w:r>
          </w:p>
        </w:tc>
        <w:tc>
          <w:tcPr>
            <w:tcW w:w="8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20" w:type="dxa"/>
            <w:vAlign w:val="bottom"/>
          </w:tcPr>
          <w:p>
            <w:pPr>
              <w:spacing w:after="0"/>
              <w:rPr>
                <w:sz w:val="17"/>
                <w:szCs w:val="17"/>
                <w:color w:val="auto"/>
              </w:rPr>
            </w:pPr>
          </w:p>
        </w:tc>
        <w:tc>
          <w:tcPr>
            <w:tcW w:w="700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6"/>
                <w:szCs w:val="16"/>
                <w:color w:val="auto"/>
              </w:rPr>
              <w:t>Proceeds from issuance of Class A common stock with warrants under February 2025 Offering, net</w:t>
            </w:r>
          </w:p>
        </w:tc>
        <w:tc>
          <w:tcPr>
            <w:tcW w:w="440" w:type="dxa"/>
            <w:vAlign w:val="bottom"/>
            <w:shd w:val="clear" w:color="auto" w:fill="CFF0FC"/>
          </w:tcPr>
          <w:p>
            <w:pPr>
              <w:spacing w:after="0"/>
              <w:rPr>
                <w:sz w:val="17"/>
                <w:szCs w:val="17"/>
                <w:color w:val="auto"/>
              </w:rPr>
            </w:pPr>
          </w:p>
        </w:tc>
        <w:tc>
          <w:tcPr>
            <w:tcW w:w="440" w:type="dxa"/>
            <w:vAlign w:val="bottom"/>
            <w:shd w:val="clear" w:color="auto" w:fill="CFF0FC"/>
          </w:tcPr>
          <w:p>
            <w:pPr>
              <w:spacing w:after="0"/>
              <w:rPr>
                <w:sz w:val="17"/>
                <w:szCs w:val="17"/>
                <w:color w:val="auto"/>
              </w:rPr>
            </w:pP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5,183</w:t>
            </w:r>
          </w:p>
        </w:tc>
        <w:tc>
          <w:tcPr>
            <w:tcW w:w="16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420" w:type="dxa"/>
            <w:vAlign w:val="bottom"/>
            <w:shd w:val="clear" w:color="auto" w:fill="CFF0FC"/>
          </w:tcPr>
          <w:p>
            <w:pPr>
              <w:spacing w:after="0"/>
              <w:rPr>
                <w:sz w:val="17"/>
                <w:szCs w:val="17"/>
                <w:color w:val="auto"/>
              </w:rPr>
            </w:pPr>
          </w:p>
        </w:tc>
        <w:tc>
          <w:tcPr>
            <w:tcW w:w="96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4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20" w:type="dxa"/>
            <w:vAlign w:val="bottom"/>
          </w:tcPr>
          <w:p>
            <w:pPr>
              <w:spacing w:after="0"/>
              <w:rPr>
                <w:sz w:val="17"/>
                <w:szCs w:val="17"/>
                <w:color w:val="auto"/>
              </w:rPr>
            </w:pPr>
          </w:p>
        </w:tc>
        <w:tc>
          <w:tcPr>
            <w:tcW w:w="700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Proceeds from issuance of Class A common stock under October 2025 Offering, net</w:t>
            </w:r>
          </w:p>
        </w:tc>
        <w:tc>
          <w:tcPr>
            <w:tcW w:w="44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18,443</w:t>
            </w: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96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4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20" w:type="dxa"/>
            <w:vAlign w:val="bottom"/>
          </w:tcPr>
          <w:p>
            <w:pPr>
              <w:spacing w:after="0"/>
              <w:rPr>
                <w:sz w:val="17"/>
                <w:szCs w:val="17"/>
                <w:color w:val="auto"/>
              </w:rPr>
            </w:pPr>
          </w:p>
        </w:tc>
        <w:tc>
          <w:tcPr>
            <w:tcW w:w="7000" w:type="dxa"/>
            <w:vAlign w:val="bottom"/>
            <w:tcBorders>
              <w:bottom w:val="single" w:sz="8" w:color="CFF0FC"/>
            </w:tcBorders>
            <w:shd w:val="clear" w:color="auto" w:fill="CFF0FC"/>
          </w:tcPr>
          <w:p>
            <w:pPr>
              <w:ind w:left="120"/>
              <w:spacing w:after="0"/>
              <w:rPr>
                <w:sz w:val="20"/>
                <w:szCs w:val="20"/>
                <w:color w:val="auto"/>
              </w:rPr>
            </w:pPr>
            <w:r>
              <w:rPr>
                <w:rFonts w:ascii="Times New Roman" w:cs="Times New Roman" w:eastAsia="Times New Roman" w:hAnsi="Times New Roman"/>
                <w:sz w:val="16"/>
                <w:szCs w:val="16"/>
                <w:color w:val="auto"/>
              </w:rPr>
              <w:t>Proceeds from issuance of Class A common stock in connection with warrant exercises</w:t>
            </w:r>
          </w:p>
        </w:tc>
        <w:tc>
          <w:tcPr>
            <w:tcW w:w="440" w:type="dxa"/>
            <w:vAlign w:val="bottom"/>
            <w:tcBorders>
              <w:bottom w:val="single" w:sz="8" w:color="CFF0FC"/>
            </w:tcBorders>
            <w:shd w:val="clear" w:color="auto" w:fill="CFF0FC"/>
          </w:tcPr>
          <w:p>
            <w:pPr>
              <w:spacing w:after="0"/>
              <w:rPr>
                <w:sz w:val="17"/>
                <w:szCs w:val="17"/>
                <w:color w:val="auto"/>
              </w:rPr>
            </w:pPr>
          </w:p>
        </w:tc>
        <w:tc>
          <w:tcPr>
            <w:tcW w:w="440" w:type="dxa"/>
            <w:vAlign w:val="bottom"/>
            <w:tcBorders>
              <w:bottom w:val="single" w:sz="8" w:color="auto"/>
            </w:tcBorders>
            <w:shd w:val="clear" w:color="auto" w:fill="CFF0FC"/>
          </w:tcPr>
          <w:p>
            <w:pPr>
              <w:spacing w:after="0"/>
              <w:rPr>
                <w:sz w:val="17"/>
                <w:szCs w:val="17"/>
                <w:color w:val="auto"/>
              </w:rPr>
            </w:pPr>
          </w:p>
        </w:tc>
        <w:tc>
          <w:tcPr>
            <w:tcW w:w="8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337</w:t>
            </w:r>
          </w:p>
        </w:tc>
        <w:tc>
          <w:tcPr>
            <w:tcW w:w="160" w:type="dxa"/>
            <w:vAlign w:val="bottom"/>
            <w:tcBorders>
              <w:bottom w:val="single" w:sz="8" w:color="CFF0FC"/>
            </w:tcBorders>
            <w:shd w:val="clear" w:color="auto" w:fill="CFF0FC"/>
          </w:tcPr>
          <w:p>
            <w:pPr>
              <w:spacing w:after="0"/>
              <w:rPr>
                <w:sz w:val="17"/>
                <w:szCs w:val="17"/>
                <w:color w:val="auto"/>
              </w:rPr>
            </w:pPr>
          </w:p>
        </w:tc>
        <w:tc>
          <w:tcPr>
            <w:tcW w:w="120" w:type="dxa"/>
            <w:vAlign w:val="bottom"/>
            <w:tcBorders>
              <w:bottom w:val="single" w:sz="8" w:color="CFF0FC"/>
            </w:tcBorders>
            <w:shd w:val="clear" w:color="auto" w:fill="CFF0FC"/>
          </w:tcPr>
          <w:p>
            <w:pPr>
              <w:spacing w:after="0"/>
              <w:rPr>
                <w:sz w:val="17"/>
                <w:szCs w:val="17"/>
                <w:color w:val="auto"/>
              </w:rPr>
            </w:pPr>
          </w:p>
        </w:tc>
        <w:tc>
          <w:tcPr>
            <w:tcW w:w="420" w:type="dxa"/>
            <w:vAlign w:val="bottom"/>
            <w:tcBorders>
              <w:bottom w:val="single" w:sz="8" w:color="auto"/>
            </w:tcBorders>
            <w:shd w:val="clear" w:color="auto" w:fill="CFF0FC"/>
          </w:tcPr>
          <w:p>
            <w:pPr>
              <w:spacing w:after="0"/>
              <w:rPr>
                <w:sz w:val="17"/>
                <w:szCs w:val="17"/>
                <w:color w:val="auto"/>
              </w:rPr>
            </w:pPr>
          </w:p>
        </w:tc>
        <w:tc>
          <w:tcPr>
            <w:tcW w:w="8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Borders>
              <w:bottom w:val="single" w:sz="8" w:color="CFF0FC"/>
            </w:tcBorders>
            <w:shd w:val="clear" w:color="auto" w:fill="CFF0FC"/>
          </w:tcPr>
          <w:p>
            <w:pPr>
              <w:spacing w:after="0"/>
              <w:rPr>
                <w:sz w:val="17"/>
                <w:szCs w:val="17"/>
                <w:color w:val="auto"/>
              </w:rPr>
            </w:pPr>
          </w:p>
        </w:tc>
        <w:tc>
          <w:tcPr>
            <w:tcW w:w="4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420" w:type="dxa"/>
            <w:vAlign w:val="bottom"/>
          </w:tcPr>
          <w:p>
            <w:pPr>
              <w:spacing w:after="0"/>
              <w:rPr>
                <w:sz w:val="17"/>
                <w:szCs w:val="17"/>
                <w:color w:val="auto"/>
              </w:rPr>
            </w:pPr>
          </w:p>
        </w:tc>
        <w:tc>
          <w:tcPr>
            <w:tcW w:w="7000" w:type="dxa"/>
            <w:vAlign w:val="bottom"/>
          </w:tcPr>
          <w:p>
            <w:pPr>
              <w:ind w:left="260"/>
              <w:spacing w:after="0"/>
              <w:rPr>
                <w:sz w:val="20"/>
                <w:szCs w:val="20"/>
                <w:color w:val="auto"/>
              </w:rPr>
            </w:pPr>
            <w:r>
              <w:rPr>
                <w:rFonts w:ascii="Times New Roman" w:cs="Times New Roman" w:eastAsia="Times New Roman" w:hAnsi="Times New Roman"/>
                <w:sz w:val="16"/>
                <w:szCs w:val="16"/>
                <w:b w:val="1"/>
                <w:bCs w:val="1"/>
                <w:color w:val="auto"/>
              </w:rPr>
              <w:t>Net cash provided by financing activities</w:t>
            </w:r>
          </w:p>
        </w:tc>
        <w:tc>
          <w:tcPr>
            <w:tcW w:w="880" w:type="dxa"/>
            <w:vAlign w:val="bottom"/>
            <w:gridSpan w:val="2"/>
          </w:tcPr>
          <w:p>
            <w:pPr>
              <w:jc w:val="right"/>
              <w:ind w:right="360"/>
              <w:spacing w:after="0"/>
              <w:rPr>
                <w:sz w:val="20"/>
                <w:szCs w:val="20"/>
                <w:color w:val="auto"/>
              </w:rPr>
            </w:pPr>
            <w:r>
              <w:rPr>
                <w:rFonts w:ascii="Times New Roman" w:cs="Times New Roman" w:eastAsia="Times New Roman" w:hAnsi="Times New Roman"/>
                <w:sz w:val="16"/>
                <w:szCs w:val="16"/>
                <w:b w:val="1"/>
                <w:bCs w:val="1"/>
                <w:color w:val="auto"/>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27,502</w:t>
            </w:r>
          </w:p>
        </w:tc>
        <w:tc>
          <w:tcPr>
            <w:tcW w:w="160" w:type="dxa"/>
            <w:vAlign w:val="bottom"/>
          </w:tcPr>
          <w:p>
            <w:pPr>
              <w:spacing w:after="0"/>
              <w:rPr>
                <w:sz w:val="17"/>
                <w:szCs w:val="17"/>
                <w:color w:val="auto"/>
              </w:rPr>
            </w:pPr>
          </w:p>
        </w:tc>
        <w:tc>
          <w:tcPr>
            <w:tcW w:w="540" w:type="dxa"/>
            <w:vAlign w:val="bottom"/>
            <w:gridSpan w:val="2"/>
          </w:tcPr>
          <w:p>
            <w:pPr>
              <w:jc w:val="right"/>
              <w:ind w:right="340"/>
              <w:spacing w:after="0"/>
              <w:rPr>
                <w:sz w:val="20"/>
                <w:szCs w:val="20"/>
                <w:color w:val="auto"/>
              </w:rPr>
            </w:pPr>
            <w:r>
              <w:rPr>
                <w:rFonts w:ascii="Times New Roman" w:cs="Times New Roman" w:eastAsia="Times New Roman" w:hAnsi="Times New Roman"/>
                <w:sz w:val="16"/>
                <w:szCs w:val="16"/>
                <w:b w:val="1"/>
                <w:bCs w:val="1"/>
                <w:color w:val="auto"/>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1,019</w:t>
            </w:r>
          </w:p>
        </w:tc>
        <w:tc>
          <w:tcPr>
            <w:tcW w:w="8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420" w:type="dxa"/>
            <w:vAlign w:val="bottom"/>
            <w:vMerge w:val="restart"/>
          </w:tcPr>
          <w:p>
            <w:pPr>
              <w:spacing w:after="0" w:line="20" w:lineRule="exact"/>
              <w:rPr>
                <w:sz w:val="1"/>
                <w:szCs w:val="1"/>
                <w:color w:val="auto"/>
              </w:rPr>
            </w:pPr>
          </w:p>
        </w:tc>
        <w:tc>
          <w:tcPr>
            <w:tcW w:w="70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420" w:type="dxa"/>
            <w:vAlign w:val="bottom"/>
            <w:vMerge w:val="continue"/>
          </w:tcPr>
          <w:p>
            <w:pPr>
              <w:spacing w:after="0"/>
              <w:rPr>
                <w:sz w:val="17"/>
                <w:szCs w:val="17"/>
                <w:color w:val="auto"/>
              </w:rPr>
            </w:pPr>
          </w:p>
        </w:tc>
        <w:tc>
          <w:tcPr>
            <w:tcW w:w="700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b w:val="1"/>
                <w:bCs w:val="1"/>
                <w:color w:val="auto"/>
              </w:rPr>
              <w:t>Net decrease in cash and cash equivalents and restricted cash</w:t>
            </w:r>
          </w:p>
        </w:tc>
        <w:tc>
          <w:tcPr>
            <w:tcW w:w="440" w:type="dxa"/>
            <w:vAlign w:val="bottom"/>
            <w:shd w:val="clear" w:color="auto" w:fill="CFF0FC"/>
          </w:tcPr>
          <w:p>
            <w:pPr>
              <w:spacing w:after="0"/>
              <w:rPr>
                <w:sz w:val="17"/>
                <w:szCs w:val="17"/>
                <w:color w:val="auto"/>
              </w:rPr>
            </w:pPr>
          </w:p>
        </w:tc>
        <w:tc>
          <w:tcPr>
            <w:tcW w:w="440" w:type="dxa"/>
            <w:vAlign w:val="bottom"/>
            <w:shd w:val="clear" w:color="auto" w:fill="CFF0FC"/>
          </w:tcPr>
          <w:p>
            <w:pPr>
              <w:spacing w:after="0"/>
              <w:rPr>
                <w:sz w:val="17"/>
                <w:szCs w:val="17"/>
                <w:color w:val="auto"/>
              </w:rPr>
            </w:pPr>
          </w:p>
        </w:tc>
        <w:tc>
          <w:tcPr>
            <w:tcW w:w="104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6"/>
                <w:szCs w:val="16"/>
                <w:color w:val="auto"/>
              </w:rPr>
              <w:t>(1,631)</w:t>
            </w:r>
          </w:p>
        </w:tc>
        <w:tc>
          <w:tcPr>
            <w:tcW w:w="120" w:type="dxa"/>
            <w:vAlign w:val="bottom"/>
            <w:shd w:val="clear" w:color="auto" w:fill="CFF0FC"/>
          </w:tcPr>
          <w:p>
            <w:pPr>
              <w:spacing w:after="0"/>
              <w:rPr>
                <w:sz w:val="17"/>
                <w:szCs w:val="17"/>
                <w:color w:val="auto"/>
              </w:rPr>
            </w:pPr>
          </w:p>
        </w:tc>
        <w:tc>
          <w:tcPr>
            <w:tcW w:w="420" w:type="dxa"/>
            <w:vAlign w:val="bottom"/>
            <w:shd w:val="clear" w:color="auto" w:fill="CFF0FC"/>
          </w:tcPr>
          <w:p>
            <w:pPr>
              <w:spacing w:after="0"/>
              <w:rPr>
                <w:sz w:val="17"/>
                <w:szCs w:val="17"/>
                <w:color w:val="auto"/>
              </w:rPr>
            </w:pPr>
          </w:p>
        </w:tc>
        <w:tc>
          <w:tcPr>
            <w:tcW w:w="96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6"/>
                <w:szCs w:val="16"/>
                <w:color w:val="auto"/>
              </w:rPr>
              <w:t>(38,131)</w:t>
            </w:r>
          </w:p>
        </w:tc>
        <w:tc>
          <w:tcPr>
            <w:tcW w:w="4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20" w:type="dxa"/>
            <w:vAlign w:val="bottom"/>
          </w:tcPr>
          <w:p>
            <w:pPr>
              <w:spacing w:after="0"/>
              <w:rPr>
                <w:sz w:val="17"/>
                <w:szCs w:val="17"/>
                <w:color w:val="auto"/>
              </w:rPr>
            </w:pPr>
          </w:p>
        </w:tc>
        <w:tc>
          <w:tcPr>
            <w:tcW w:w="7000" w:type="dxa"/>
            <w:vAlign w:val="bottom"/>
          </w:tcPr>
          <w:p>
            <w:pPr>
              <w:spacing w:after="0"/>
              <w:rPr>
                <w:sz w:val="20"/>
                <w:szCs w:val="20"/>
                <w:color w:val="auto"/>
              </w:rPr>
            </w:pPr>
            <w:r>
              <w:rPr>
                <w:rFonts w:ascii="Times New Roman" w:cs="Times New Roman" w:eastAsia="Times New Roman" w:hAnsi="Times New Roman"/>
                <w:sz w:val="16"/>
                <w:szCs w:val="16"/>
                <w:color w:val="auto"/>
              </w:rPr>
              <w:t>Cash, cash equivalents and restricted cash, beginning of year</w:t>
            </w:r>
          </w:p>
        </w:tc>
        <w:tc>
          <w:tcPr>
            <w:tcW w:w="440" w:type="dxa"/>
            <w:vAlign w:val="bottom"/>
          </w:tcPr>
          <w:p>
            <w:pPr>
              <w:spacing w:after="0"/>
              <w:rPr>
                <w:sz w:val="17"/>
                <w:szCs w:val="17"/>
                <w:color w:val="auto"/>
              </w:rPr>
            </w:pPr>
          </w:p>
        </w:tc>
        <w:tc>
          <w:tcPr>
            <w:tcW w:w="44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37,673</w:t>
            </w: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2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75,804</w:t>
            </w:r>
          </w:p>
        </w:tc>
        <w:tc>
          <w:tcPr>
            <w:tcW w:w="8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6"/>
        </w:trPr>
        <w:tc>
          <w:tcPr>
            <w:tcW w:w="420" w:type="dxa"/>
            <w:vAlign w:val="bottom"/>
          </w:tcPr>
          <w:p>
            <w:pPr>
              <w:spacing w:after="0"/>
              <w:rPr>
                <w:sz w:val="20"/>
                <w:szCs w:val="20"/>
                <w:color w:val="auto"/>
              </w:rPr>
            </w:pPr>
          </w:p>
        </w:tc>
        <w:tc>
          <w:tcPr>
            <w:tcW w:w="700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b w:val="1"/>
                <w:bCs w:val="1"/>
                <w:color w:val="auto"/>
              </w:rPr>
              <w:t>Cash, cash equivalents and restricted cash, end of year</w:t>
            </w:r>
          </w:p>
        </w:tc>
        <w:tc>
          <w:tcPr>
            <w:tcW w:w="880" w:type="dxa"/>
            <w:vAlign w:val="bottom"/>
            <w:gridSpan w:val="2"/>
            <w:shd w:val="clear" w:color="auto" w:fill="CFF0FC"/>
          </w:tcPr>
          <w:p>
            <w:pPr>
              <w:jc w:val="right"/>
              <w:ind w:right="360"/>
              <w:spacing w:after="0"/>
              <w:rPr>
                <w:sz w:val="20"/>
                <w:szCs w:val="20"/>
                <w:color w:val="auto"/>
              </w:rPr>
            </w:pPr>
            <w:r>
              <w:rPr>
                <w:rFonts w:ascii="Times New Roman" w:cs="Times New Roman" w:eastAsia="Times New Roman" w:hAnsi="Times New Roman"/>
                <w:sz w:val="16"/>
                <w:szCs w:val="16"/>
                <w:b w:val="1"/>
                <w:bCs w:val="1"/>
                <w:color w:val="auto"/>
              </w:rPr>
              <w:t>$</w:t>
            </w: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b w:val="1"/>
                <w:bCs w:val="1"/>
                <w:color w:val="auto"/>
              </w:rPr>
              <w:t>36,042</w:t>
            </w:r>
          </w:p>
        </w:tc>
        <w:tc>
          <w:tcPr>
            <w:tcW w:w="160" w:type="dxa"/>
            <w:vAlign w:val="bottom"/>
            <w:shd w:val="clear" w:color="auto" w:fill="CFF0FC"/>
          </w:tcPr>
          <w:p>
            <w:pPr>
              <w:spacing w:after="0"/>
              <w:rPr>
                <w:sz w:val="20"/>
                <w:szCs w:val="20"/>
                <w:color w:val="auto"/>
              </w:rPr>
            </w:pPr>
          </w:p>
        </w:tc>
        <w:tc>
          <w:tcPr>
            <w:tcW w:w="540" w:type="dxa"/>
            <w:vAlign w:val="bottom"/>
            <w:gridSpan w:val="2"/>
            <w:shd w:val="clear" w:color="auto" w:fill="CFF0FC"/>
          </w:tcPr>
          <w:p>
            <w:pPr>
              <w:jc w:val="right"/>
              <w:ind w:right="340"/>
              <w:spacing w:after="0"/>
              <w:rPr>
                <w:sz w:val="20"/>
                <w:szCs w:val="20"/>
                <w:color w:val="auto"/>
              </w:rPr>
            </w:pPr>
            <w:r>
              <w:rPr>
                <w:rFonts w:ascii="Times New Roman" w:cs="Times New Roman" w:eastAsia="Times New Roman" w:hAnsi="Times New Roman"/>
                <w:sz w:val="16"/>
                <w:szCs w:val="16"/>
                <w:b w:val="1"/>
                <w:bCs w:val="1"/>
                <w:color w:val="auto"/>
              </w:rPr>
              <w:t>$</w:t>
            </w: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b w:val="1"/>
                <w:bCs w:val="1"/>
                <w:color w:val="auto"/>
              </w:rPr>
              <w:t>37,673</w:t>
            </w:r>
          </w:p>
        </w:tc>
        <w:tc>
          <w:tcPr>
            <w:tcW w:w="80" w:type="dxa"/>
            <w:vAlign w:val="bottom"/>
            <w:shd w:val="clear" w:color="auto" w:fill="CFF0FC"/>
          </w:tcPr>
          <w:p>
            <w:pPr>
              <w:spacing w:after="0"/>
              <w:rPr>
                <w:sz w:val="20"/>
                <w:szCs w:val="20"/>
                <w:color w:val="auto"/>
              </w:rPr>
            </w:pPr>
          </w:p>
        </w:tc>
        <w:tc>
          <w:tcPr>
            <w:tcW w:w="4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83"/>
        </w:trPr>
        <w:tc>
          <w:tcPr>
            <w:tcW w:w="420" w:type="dxa"/>
            <w:vAlign w:val="bottom"/>
          </w:tcPr>
          <w:p>
            <w:pPr>
              <w:spacing w:after="0"/>
              <w:rPr>
                <w:sz w:val="15"/>
                <w:szCs w:val="15"/>
                <w:color w:val="auto"/>
              </w:rPr>
            </w:pPr>
          </w:p>
        </w:tc>
        <w:tc>
          <w:tcPr>
            <w:tcW w:w="7000" w:type="dxa"/>
            <w:vAlign w:val="bottom"/>
            <w:tcBorders>
              <w:top w:val="single" w:sz="8" w:color="CFF0FC"/>
            </w:tcBorders>
          </w:tcPr>
          <w:p>
            <w:pPr>
              <w:spacing w:after="0"/>
              <w:rPr>
                <w:sz w:val="20"/>
                <w:szCs w:val="20"/>
                <w:color w:val="auto"/>
              </w:rPr>
            </w:pPr>
            <w:r>
              <w:rPr>
                <w:rFonts w:ascii="Times New Roman" w:cs="Times New Roman" w:eastAsia="Times New Roman" w:hAnsi="Times New Roman"/>
                <w:sz w:val="16"/>
                <w:szCs w:val="16"/>
                <w:b w:val="1"/>
                <w:bCs w:val="1"/>
                <w:color w:val="auto"/>
              </w:rPr>
              <w:t>Reconciliation of cash, cash equivalents, and restricted cash reported in the balance sheets</w:t>
            </w:r>
          </w:p>
        </w:tc>
        <w:tc>
          <w:tcPr>
            <w:tcW w:w="440" w:type="dxa"/>
            <w:vAlign w:val="bottom"/>
            <w:tcBorders>
              <w:top w:val="single" w:sz="8" w:color="CFF0FC"/>
            </w:tcBorders>
          </w:tcPr>
          <w:p>
            <w:pPr>
              <w:spacing w:after="0"/>
              <w:rPr>
                <w:sz w:val="15"/>
                <w:szCs w:val="15"/>
                <w:color w:val="auto"/>
              </w:rPr>
            </w:pPr>
          </w:p>
        </w:tc>
        <w:tc>
          <w:tcPr>
            <w:tcW w:w="440" w:type="dxa"/>
            <w:vAlign w:val="bottom"/>
            <w:tcBorders>
              <w:top w:val="single" w:sz="8" w:color="auto"/>
            </w:tcBorders>
          </w:tcPr>
          <w:p>
            <w:pPr>
              <w:spacing w:after="0"/>
              <w:rPr>
                <w:sz w:val="15"/>
                <w:szCs w:val="15"/>
                <w:color w:val="auto"/>
              </w:rPr>
            </w:pPr>
          </w:p>
        </w:tc>
        <w:tc>
          <w:tcPr>
            <w:tcW w:w="880" w:type="dxa"/>
            <w:vAlign w:val="bottom"/>
            <w:tcBorders>
              <w:top w:val="single" w:sz="8" w:color="auto"/>
            </w:tcBorders>
          </w:tcPr>
          <w:p>
            <w:pPr>
              <w:spacing w:after="0"/>
              <w:rPr>
                <w:sz w:val="15"/>
                <w:szCs w:val="15"/>
                <w:color w:val="auto"/>
              </w:rPr>
            </w:pPr>
          </w:p>
        </w:tc>
        <w:tc>
          <w:tcPr>
            <w:tcW w:w="160" w:type="dxa"/>
            <w:vAlign w:val="bottom"/>
            <w:tcBorders>
              <w:top w:val="single" w:sz="8" w:color="CFF0FC"/>
            </w:tcBorders>
          </w:tcPr>
          <w:p>
            <w:pPr>
              <w:spacing w:after="0"/>
              <w:rPr>
                <w:sz w:val="15"/>
                <w:szCs w:val="15"/>
                <w:color w:val="auto"/>
              </w:rPr>
            </w:pPr>
          </w:p>
        </w:tc>
        <w:tc>
          <w:tcPr>
            <w:tcW w:w="120" w:type="dxa"/>
            <w:vAlign w:val="bottom"/>
            <w:tcBorders>
              <w:top w:val="single" w:sz="8" w:color="CFF0FC"/>
            </w:tcBorders>
          </w:tcPr>
          <w:p>
            <w:pPr>
              <w:spacing w:after="0"/>
              <w:rPr>
                <w:sz w:val="15"/>
                <w:szCs w:val="15"/>
                <w:color w:val="auto"/>
              </w:rPr>
            </w:pPr>
          </w:p>
        </w:tc>
        <w:tc>
          <w:tcPr>
            <w:tcW w:w="420" w:type="dxa"/>
            <w:vAlign w:val="bottom"/>
            <w:tcBorders>
              <w:top w:val="single" w:sz="8" w:color="auto"/>
            </w:tcBorders>
          </w:tcPr>
          <w:p>
            <w:pPr>
              <w:spacing w:after="0"/>
              <w:rPr>
                <w:sz w:val="15"/>
                <w:szCs w:val="15"/>
                <w:color w:val="auto"/>
              </w:rPr>
            </w:pPr>
          </w:p>
        </w:tc>
        <w:tc>
          <w:tcPr>
            <w:tcW w:w="880" w:type="dxa"/>
            <w:vAlign w:val="bottom"/>
            <w:tcBorders>
              <w:top w:val="single" w:sz="8" w:color="auto"/>
            </w:tcBorders>
          </w:tcPr>
          <w:p>
            <w:pPr>
              <w:spacing w:after="0"/>
              <w:rPr>
                <w:sz w:val="15"/>
                <w:szCs w:val="15"/>
                <w:color w:val="auto"/>
              </w:rPr>
            </w:pPr>
          </w:p>
        </w:tc>
        <w:tc>
          <w:tcPr>
            <w:tcW w:w="80" w:type="dxa"/>
            <w:vAlign w:val="bottom"/>
            <w:tcBorders>
              <w:top w:val="single" w:sz="8" w:color="CFF0FC"/>
            </w:tcBorders>
          </w:tcPr>
          <w:p>
            <w:pPr>
              <w:spacing w:after="0"/>
              <w:rPr>
                <w:sz w:val="15"/>
                <w:szCs w:val="15"/>
                <w:color w:val="auto"/>
              </w:rPr>
            </w:pPr>
          </w:p>
        </w:tc>
        <w:tc>
          <w:tcPr>
            <w:tcW w:w="4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420" w:type="dxa"/>
            <w:vAlign w:val="bottom"/>
          </w:tcPr>
          <w:p>
            <w:pPr>
              <w:spacing w:after="0"/>
              <w:rPr>
                <w:sz w:val="17"/>
                <w:szCs w:val="17"/>
                <w:color w:val="auto"/>
              </w:rPr>
            </w:pPr>
          </w:p>
        </w:tc>
        <w:tc>
          <w:tcPr>
            <w:tcW w:w="700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6"/>
                <w:szCs w:val="16"/>
                <w:color w:val="auto"/>
              </w:rPr>
              <w:t>Cash and cash equivalents</w:t>
            </w:r>
          </w:p>
        </w:tc>
        <w:tc>
          <w:tcPr>
            <w:tcW w:w="880" w:type="dxa"/>
            <w:vAlign w:val="bottom"/>
            <w:gridSpan w:val="2"/>
            <w:shd w:val="clear" w:color="auto" w:fill="CFF0FC"/>
          </w:tcPr>
          <w:p>
            <w:pPr>
              <w:jc w:val="right"/>
              <w:ind w:right="360"/>
              <w:spacing w:after="0"/>
              <w:rPr>
                <w:sz w:val="20"/>
                <w:szCs w:val="20"/>
                <w:color w:val="auto"/>
              </w:rPr>
            </w:pPr>
            <w:r>
              <w:rPr>
                <w:rFonts w:ascii="Times New Roman" w:cs="Times New Roman" w:eastAsia="Times New Roman" w:hAnsi="Times New Roman"/>
                <w:sz w:val="16"/>
                <w:szCs w:val="16"/>
                <w:color w:val="auto"/>
              </w:rPr>
              <w:t>$</w:t>
            </w: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35,085</w:t>
            </w:r>
          </w:p>
        </w:tc>
        <w:tc>
          <w:tcPr>
            <w:tcW w:w="160" w:type="dxa"/>
            <w:vAlign w:val="bottom"/>
            <w:shd w:val="clear" w:color="auto" w:fill="CFF0FC"/>
          </w:tcPr>
          <w:p>
            <w:pPr>
              <w:spacing w:after="0"/>
              <w:rPr>
                <w:sz w:val="17"/>
                <w:szCs w:val="17"/>
                <w:color w:val="auto"/>
              </w:rPr>
            </w:pPr>
          </w:p>
        </w:tc>
        <w:tc>
          <w:tcPr>
            <w:tcW w:w="540" w:type="dxa"/>
            <w:vAlign w:val="bottom"/>
            <w:gridSpan w:val="2"/>
            <w:shd w:val="clear" w:color="auto" w:fill="CFF0FC"/>
          </w:tcPr>
          <w:p>
            <w:pPr>
              <w:jc w:val="right"/>
              <w:ind w:right="340"/>
              <w:spacing w:after="0"/>
              <w:rPr>
                <w:sz w:val="20"/>
                <w:szCs w:val="20"/>
                <w:color w:val="auto"/>
              </w:rPr>
            </w:pPr>
            <w:r>
              <w:rPr>
                <w:rFonts w:ascii="Times New Roman" w:cs="Times New Roman" w:eastAsia="Times New Roman" w:hAnsi="Times New Roman"/>
                <w:sz w:val="16"/>
                <w:szCs w:val="16"/>
                <w:color w:val="auto"/>
              </w:rPr>
              <w:t>$</w:t>
            </w: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37,645</w:t>
            </w:r>
          </w:p>
        </w:tc>
        <w:tc>
          <w:tcPr>
            <w:tcW w:w="80" w:type="dxa"/>
            <w:vAlign w:val="bottom"/>
            <w:shd w:val="clear" w:color="auto" w:fill="CFF0FC"/>
          </w:tcPr>
          <w:p>
            <w:pPr>
              <w:spacing w:after="0"/>
              <w:rPr>
                <w:sz w:val="17"/>
                <w:szCs w:val="17"/>
                <w:color w:val="auto"/>
              </w:rPr>
            </w:pPr>
          </w:p>
        </w:tc>
        <w:tc>
          <w:tcPr>
            <w:tcW w:w="4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20" w:type="dxa"/>
            <w:vAlign w:val="bottom"/>
          </w:tcPr>
          <w:p>
            <w:pPr>
              <w:spacing w:after="0"/>
              <w:rPr>
                <w:sz w:val="17"/>
                <w:szCs w:val="17"/>
                <w:color w:val="auto"/>
              </w:rPr>
            </w:pPr>
          </w:p>
        </w:tc>
        <w:tc>
          <w:tcPr>
            <w:tcW w:w="700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Restricted cash</w:t>
            </w:r>
          </w:p>
        </w:tc>
        <w:tc>
          <w:tcPr>
            <w:tcW w:w="440" w:type="dxa"/>
            <w:vAlign w:val="bottom"/>
          </w:tcPr>
          <w:p>
            <w:pPr>
              <w:spacing w:after="0"/>
              <w:rPr>
                <w:sz w:val="17"/>
                <w:szCs w:val="17"/>
                <w:color w:val="auto"/>
              </w:rPr>
            </w:pPr>
          </w:p>
        </w:tc>
        <w:tc>
          <w:tcPr>
            <w:tcW w:w="44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957</w:t>
            </w: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2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28</w:t>
            </w:r>
          </w:p>
        </w:tc>
        <w:tc>
          <w:tcPr>
            <w:tcW w:w="8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420" w:type="dxa"/>
            <w:vAlign w:val="bottom"/>
          </w:tcPr>
          <w:p>
            <w:pPr>
              <w:spacing w:after="0"/>
              <w:rPr>
                <w:sz w:val="17"/>
                <w:szCs w:val="17"/>
                <w:color w:val="auto"/>
              </w:rPr>
            </w:pPr>
          </w:p>
        </w:tc>
        <w:tc>
          <w:tcPr>
            <w:tcW w:w="700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b w:val="1"/>
                <w:bCs w:val="1"/>
                <w:color w:val="auto"/>
              </w:rPr>
              <w:t>Total cash, cash equivalents and restricted cash</w:t>
            </w:r>
          </w:p>
        </w:tc>
        <w:tc>
          <w:tcPr>
            <w:tcW w:w="880" w:type="dxa"/>
            <w:vAlign w:val="bottom"/>
            <w:gridSpan w:val="2"/>
            <w:shd w:val="clear" w:color="auto" w:fill="CFF0FC"/>
          </w:tcPr>
          <w:p>
            <w:pPr>
              <w:jc w:val="right"/>
              <w:ind w:right="360"/>
              <w:spacing w:after="0"/>
              <w:rPr>
                <w:sz w:val="20"/>
                <w:szCs w:val="20"/>
                <w:color w:val="auto"/>
              </w:rPr>
            </w:pPr>
            <w:r>
              <w:rPr>
                <w:rFonts w:ascii="Times New Roman" w:cs="Times New Roman" w:eastAsia="Times New Roman" w:hAnsi="Times New Roman"/>
                <w:sz w:val="16"/>
                <w:szCs w:val="16"/>
                <w:b w:val="1"/>
                <w:bCs w:val="1"/>
                <w:color w:val="auto"/>
              </w:rPr>
              <w:t>$</w:t>
            </w: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b w:val="1"/>
                <w:bCs w:val="1"/>
                <w:color w:val="auto"/>
              </w:rPr>
              <w:t>36,042</w:t>
            </w:r>
          </w:p>
        </w:tc>
        <w:tc>
          <w:tcPr>
            <w:tcW w:w="160" w:type="dxa"/>
            <w:vAlign w:val="bottom"/>
            <w:shd w:val="clear" w:color="auto" w:fill="CFF0FC"/>
          </w:tcPr>
          <w:p>
            <w:pPr>
              <w:spacing w:after="0"/>
              <w:rPr>
                <w:sz w:val="17"/>
                <w:szCs w:val="17"/>
                <w:color w:val="auto"/>
              </w:rPr>
            </w:pPr>
          </w:p>
        </w:tc>
        <w:tc>
          <w:tcPr>
            <w:tcW w:w="540" w:type="dxa"/>
            <w:vAlign w:val="bottom"/>
            <w:gridSpan w:val="2"/>
            <w:shd w:val="clear" w:color="auto" w:fill="CFF0FC"/>
          </w:tcPr>
          <w:p>
            <w:pPr>
              <w:jc w:val="right"/>
              <w:ind w:right="340"/>
              <w:spacing w:after="0"/>
              <w:rPr>
                <w:sz w:val="20"/>
                <w:szCs w:val="20"/>
                <w:color w:val="auto"/>
              </w:rPr>
            </w:pPr>
            <w:r>
              <w:rPr>
                <w:rFonts w:ascii="Times New Roman" w:cs="Times New Roman" w:eastAsia="Times New Roman" w:hAnsi="Times New Roman"/>
                <w:sz w:val="16"/>
                <w:szCs w:val="16"/>
                <w:b w:val="1"/>
                <w:bCs w:val="1"/>
                <w:color w:val="auto"/>
              </w:rPr>
              <w:t>$</w:t>
            </w: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b w:val="1"/>
                <w:bCs w:val="1"/>
                <w:color w:val="auto"/>
              </w:rPr>
              <w:t>37,673</w:t>
            </w:r>
          </w:p>
        </w:tc>
        <w:tc>
          <w:tcPr>
            <w:tcW w:w="80" w:type="dxa"/>
            <w:vAlign w:val="bottom"/>
            <w:shd w:val="clear" w:color="auto" w:fill="CFF0FC"/>
          </w:tcPr>
          <w:p>
            <w:pPr>
              <w:spacing w:after="0"/>
              <w:rPr>
                <w:sz w:val="17"/>
                <w:szCs w:val="17"/>
                <w:color w:val="auto"/>
              </w:rPr>
            </w:pPr>
          </w:p>
        </w:tc>
        <w:tc>
          <w:tcPr>
            <w:tcW w:w="4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420" w:type="dxa"/>
            <w:vAlign w:val="bottom"/>
          </w:tcPr>
          <w:p>
            <w:pPr>
              <w:spacing w:after="0" w:line="20" w:lineRule="exact"/>
              <w:rPr>
                <w:sz w:val="1"/>
                <w:szCs w:val="1"/>
                <w:color w:val="auto"/>
              </w:rPr>
            </w:pPr>
          </w:p>
        </w:tc>
        <w:tc>
          <w:tcPr>
            <w:tcW w:w="7000" w:type="dxa"/>
            <w:vAlign w:val="bottom"/>
            <w:vMerge w:val="restart"/>
          </w:tcPr>
          <w:p>
            <w:pPr>
              <w:spacing w:after="0"/>
              <w:rPr>
                <w:sz w:val="20"/>
                <w:szCs w:val="20"/>
                <w:color w:val="auto"/>
              </w:rPr>
            </w:pPr>
            <w:r>
              <w:rPr>
                <w:rFonts w:ascii="Times New Roman" w:cs="Times New Roman" w:eastAsia="Times New Roman" w:hAnsi="Times New Roman"/>
                <w:sz w:val="16"/>
                <w:szCs w:val="16"/>
                <w:color w:val="auto"/>
              </w:rPr>
              <w:t>Supplemental disclosure of noncash information:</w:t>
            </w:r>
          </w:p>
        </w:tc>
        <w:tc>
          <w:tcPr>
            <w:tcW w:w="440" w:type="dxa"/>
            <w:vAlign w:val="bottom"/>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0"/>
        </w:trPr>
        <w:tc>
          <w:tcPr>
            <w:tcW w:w="420" w:type="dxa"/>
            <w:vAlign w:val="bottom"/>
          </w:tcPr>
          <w:p>
            <w:pPr>
              <w:spacing w:after="0"/>
              <w:rPr>
                <w:sz w:val="13"/>
                <w:szCs w:val="13"/>
                <w:color w:val="auto"/>
              </w:rPr>
            </w:pPr>
          </w:p>
        </w:tc>
        <w:tc>
          <w:tcPr>
            <w:tcW w:w="7000" w:type="dxa"/>
            <w:vAlign w:val="bottom"/>
            <w:vMerge w:val="continue"/>
          </w:tcPr>
          <w:p>
            <w:pPr>
              <w:spacing w:after="0"/>
              <w:rPr>
                <w:sz w:val="13"/>
                <w:szCs w:val="13"/>
                <w:color w:val="auto"/>
              </w:rPr>
            </w:pPr>
          </w:p>
        </w:tc>
        <w:tc>
          <w:tcPr>
            <w:tcW w:w="44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3"/>
        </w:trPr>
        <w:tc>
          <w:tcPr>
            <w:tcW w:w="420" w:type="dxa"/>
            <w:vAlign w:val="bottom"/>
          </w:tcPr>
          <w:p>
            <w:pPr>
              <w:spacing w:after="0"/>
              <w:rPr>
                <w:sz w:val="2"/>
                <w:szCs w:val="2"/>
                <w:color w:val="auto"/>
              </w:rPr>
            </w:pPr>
          </w:p>
        </w:tc>
        <w:tc>
          <w:tcPr>
            <w:tcW w:w="7000" w:type="dxa"/>
            <w:vAlign w:val="bottom"/>
          </w:tcPr>
          <w:p>
            <w:pPr>
              <w:spacing w:after="0"/>
              <w:rPr>
                <w:sz w:val="2"/>
                <w:szCs w:val="2"/>
                <w:color w:val="auto"/>
              </w:rPr>
            </w:pPr>
          </w:p>
        </w:tc>
        <w:tc>
          <w:tcPr>
            <w:tcW w:w="440" w:type="dxa"/>
            <w:vAlign w:val="bottom"/>
          </w:tcPr>
          <w:p>
            <w:pPr>
              <w:spacing w:after="0"/>
              <w:rPr>
                <w:sz w:val="2"/>
                <w:szCs w:val="2"/>
                <w:color w:val="auto"/>
              </w:rPr>
            </w:pPr>
          </w:p>
        </w:tc>
        <w:tc>
          <w:tcPr>
            <w:tcW w:w="4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420" w:type="dxa"/>
            <w:vAlign w:val="bottom"/>
          </w:tcPr>
          <w:p>
            <w:pPr>
              <w:spacing w:after="0"/>
              <w:rPr>
                <w:sz w:val="2"/>
                <w:szCs w:val="2"/>
                <w:color w:val="auto"/>
              </w:rPr>
            </w:pPr>
          </w:p>
        </w:tc>
        <w:tc>
          <w:tcPr>
            <w:tcW w:w="880" w:type="dxa"/>
            <w:vAlign w:val="bottom"/>
          </w:tcPr>
          <w:p>
            <w:pPr>
              <w:spacing w:after="0"/>
              <w:rPr>
                <w:sz w:val="2"/>
                <w:szCs w:val="2"/>
                <w:color w:val="auto"/>
              </w:rPr>
            </w:pPr>
          </w:p>
        </w:tc>
        <w:tc>
          <w:tcPr>
            <w:tcW w:w="80" w:type="dxa"/>
            <w:vAlign w:val="bottom"/>
          </w:tcPr>
          <w:p>
            <w:pPr>
              <w:spacing w:after="0"/>
              <w:rPr>
                <w:sz w:val="2"/>
                <w:szCs w:val="2"/>
                <w:color w:val="auto"/>
              </w:rPr>
            </w:pPr>
          </w:p>
        </w:tc>
        <w:tc>
          <w:tcPr>
            <w:tcW w:w="4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3"/>
        </w:trPr>
        <w:tc>
          <w:tcPr>
            <w:tcW w:w="420" w:type="dxa"/>
            <w:vAlign w:val="bottom"/>
          </w:tcPr>
          <w:p>
            <w:pPr>
              <w:spacing w:after="0"/>
              <w:rPr>
                <w:sz w:val="19"/>
                <w:szCs w:val="19"/>
                <w:color w:val="auto"/>
              </w:rPr>
            </w:pPr>
          </w:p>
        </w:tc>
        <w:tc>
          <w:tcPr>
            <w:tcW w:w="700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6"/>
                <w:szCs w:val="16"/>
                <w:color w:val="auto"/>
              </w:rPr>
              <w:t>Noncash acquisition of property and equipment</w:t>
            </w:r>
          </w:p>
        </w:tc>
        <w:tc>
          <w:tcPr>
            <w:tcW w:w="880" w:type="dxa"/>
            <w:vAlign w:val="bottom"/>
            <w:gridSpan w:val="2"/>
            <w:shd w:val="clear" w:color="auto" w:fill="CFF0FC"/>
          </w:tcPr>
          <w:p>
            <w:pPr>
              <w:jc w:val="right"/>
              <w:ind w:right="360"/>
              <w:spacing w:after="0"/>
              <w:rPr>
                <w:sz w:val="20"/>
                <w:szCs w:val="20"/>
                <w:color w:val="auto"/>
              </w:rPr>
            </w:pPr>
            <w:r>
              <w:rPr>
                <w:rFonts w:ascii="Times New Roman" w:cs="Times New Roman" w:eastAsia="Times New Roman" w:hAnsi="Times New Roman"/>
                <w:sz w:val="16"/>
                <w:szCs w:val="16"/>
                <w:b w:val="1"/>
                <w:bCs w:val="1"/>
                <w:color w:val="auto"/>
              </w:rPr>
              <w:t>$</w:t>
            </w: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b w:val="1"/>
                <w:bCs w:val="1"/>
                <w:color w:val="auto"/>
              </w:rPr>
              <w:t>217</w:t>
            </w:r>
          </w:p>
        </w:tc>
        <w:tc>
          <w:tcPr>
            <w:tcW w:w="160" w:type="dxa"/>
            <w:vAlign w:val="bottom"/>
            <w:shd w:val="clear" w:color="auto" w:fill="CFF0FC"/>
          </w:tcPr>
          <w:p>
            <w:pPr>
              <w:spacing w:after="0"/>
              <w:rPr>
                <w:sz w:val="19"/>
                <w:szCs w:val="19"/>
                <w:color w:val="auto"/>
              </w:rPr>
            </w:pPr>
          </w:p>
        </w:tc>
        <w:tc>
          <w:tcPr>
            <w:tcW w:w="540" w:type="dxa"/>
            <w:vAlign w:val="bottom"/>
            <w:gridSpan w:val="2"/>
            <w:shd w:val="clear" w:color="auto" w:fill="CFF0FC"/>
          </w:tcPr>
          <w:p>
            <w:pPr>
              <w:jc w:val="right"/>
              <w:ind w:right="340"/>
              <w:spacing w:after="0"/>
              <w:rPr>
                <w:sz w:val="20"/>
                <w:szCs w:val="20"/>
                <w:color w:val="auto"/>
              </w:rPr>
            </w:pPr>
            <w:r>
              <w:rPr>
                <w:rFonts w:ascii="Times New Roman" w:cs="Times New Roman" w:eastAsia="Times New Roman" w:hAnsi="Times New Roman"/>
                <w:sz w:val="16"/>
                <w:szCs w:val="16"/>
                <w:b w:val="1"/>
                <w:bCs w:val="1"/>
                <w:color w:val="auto"/>
              </w:rPr>
              <w:t>$</w:t>
            </w: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b w:val="1"/>
                <w:bCs w:val="1"/>
                <w:color w:val="auto"/>
              </w:rPr>
              <w:t>765</w:t>
            </w:r>
          </w:p>
        </w:tc>
        <w:tc>
          <w:tcPr>
            <w:tcW w:w="80" w:type="dxa"/>
            <w:vAlign w:val="bottom"/>
            <w:shd w:val="clear" w:color="auto" w:fill="CFF0FC"/>
          </w:tcPr>
          <w:p>
            <w:pPr>
              <w:spacing w:after="0"/>
              <w:rPr>
                <w:sz w:val="19"/>
                <w:szCs w:val="19"/>
                <w:color w:val="auto"/>
              </w:rPr>
            </w:pPr>
          </w:p>
        </w:tc>
        <w:tc>
          <w:tcPr>
            <w:tcW w:w="4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20" w:type="dxa"/>
            <w:vAlign w:val="bottom"/>
          </w:tcPr>
          <w:p>
            <w:pPr>
              <w:spacing w:after="0" w:line="20" w:lineRule="exact"/>
              <w:rPr>
                <w:sz w:val="1"/>
                <w:szCs w:val="1"/>
                <w:color w:val="auto"/>
              </w:rPr>
            </w:pPr>
          </w:p>
        </w:tc>
        <w:tc>
          <w:tcPr>
            <w:tcW w:w="7000" w:type="dxa"/>
            <w:vAlign w:val="bottom"/>
            <w:tcBorders>
              <w:top w:val="single" w:sz="8" w:color="CFF0FC"/>
            </w:tcBorders>
            <w:shd w:val="clear" w:color="auto" w:fill="CFF0FC"/>
          </w:tcPr>
          <w:p>
            <w:pPr>
              <w:spacing w:after="0" w:line="20" w:lineRule="exact"/>
              <w:rPr>
                <w:sz w:val="1"/>
                <w:szCs w:val="1"/>
                <w:color w:val="auto"/>
              </w:rPr>
            </w:pPr>
          </w:p>
        </w:tc>
        <w:tc>
          <w:tcPr>
            <w:tcW w:w="440" w:type="dxa"/>
            <w:vAlign w:val="bottom"/>
            <w:tcBorders>
              <w:top w:val="single" w:sz="8" w:color="CFF0FC"/>
            </w:tcBorders>
            <w:shd w:val="clear" w:color="auto" w:fill="CFF0FC"/>
          </w:tcPr>
          <w:p>
            <w:pPr>
              <w:spacing w:after="0" w:line="20" w:lineRule="exact"/>
              <w:rPr>
                <w:sz w:val="1"/>
                <w:szCs w:val="1"/>
                <w:color w:val="auto"/>
              </w:rPr>
            </w:pPr>
          </w:p>
        </w:tc>
        <w:tc>
          <w:tcPr>
            <w:tcW w:w="440" w:type="dxa"/>
            <w:vAlign w:val="bottom"/>
            <w:tcBorders>
              <w:top w:val="single" w:sz="8" w:color="auto"/>
            </w:tcBorders>
            <w:shd w:val="clear" w:color="auto" w:fill="000000"/>
          </w:tcPr>
          <w:p>
            <w:pPr>
              <w:spacing w:after="0" w:line="20" w:lineRule="exact"/>
              <w:rPr>
                <w:sz w:val="1"/>
                <w:szCs w:val="1"/>
                <w:color w:val="auto"/>
              </w:rPr>
            </w:pPr>
          </w:p>
        </w:tc>
        <w:tc>
          <w:tcPr>
            <w:tcW w:w="880" w:type="dxa"/>
            <w:vAlign w:val="bottom"/>
            <w:tcBorders>
              <w:top w:val="single" w:sz="8" w:color="auto"/>
            </w:tcBorders>
            <w:shd w:val="clear" w:color="auto" w:fill="000000"/>
          </w:tcPr>
          <w:p>
            <w:pPr>
              <w:spacing w:after="0" w:line="20" w:lineRule="exact"/>
              <w:rPr>
                <w:sz w:val="1"/>
                <w:szCs w:val="1"/>
                <w:color w:val="auto"/>
              </w:rPr>
            </w:pPr>
          </w:p>
        </w:tc>
        <w:tc>
          <w:tcPr>
            <w:tcW w:w="160" w:type="dxa"/>
            <w:vAlign w:val="bottom"/>
            <w:tcBorders>
              <w:top w:val="single" w:sz="8" w:color="CFF0FC"/>
            </w:tcBorders>
            <w:shd w:val="clear" w:color="auto" w:fill="CFF0FC"/>
          </w:tcPr>
          <w:p>
            <w:pPr>
              <w:spacing w:after="0" w:line="20" w:lineRule="exact"/>
              <w:rPr>
                <w:sz w:val="1"/>
                <w:szCs w:val="1"/>
                <w:color w:val="auto"/>
              </w:rPr>
            </w:pPr>
          </w:p>
        </w:tc>
        <w:tc>
          <w:tcPr>
            <w:tcW w:w="120" w:type="dxa"/>
            <w:vAlign w:val="bottom"/>
            <w:tcBorders>
              <w:top w:val="single" w:sz="8" w:color="CFF0FC"/>
            </w:tcBorders>
            <w:shd w:val="clear" w:color="auto" w:fill="CFF0FC"/>
          </w:tcPr>
          <w:p>
            <w:pPr>
              <w:spacing w:after="0" w:line="20" w:lineRule="exact"/>
              <w:rPr>
                <w:sz w:val="1"/>
                <w:szCs w:val="1"/>
                <w:color w:val="auto"/>
              </w:rPr>
            </w:pPr>
          </w:p>
        </w:tc>
        <w:tc>
          <w:tcPr>
            <w:tcW w:w="420" w:type="dxa"/>
            <w:vAlign w:val="bottom"/>
            <w:tcBorders>
              <w:top w:val="single" w:sz="8" w:color="auto"/>
            </w:tcBorders>
            <w:shd w:val="clear" w:color="auto" w:fill="000000"/>
          </w:tcPr>
          <w:p>
            <w:pPr>
              <w:spacing w:after="0" w:line="20" w:lineRule="exact"/>
              <w:rPr>
                <w:sz w:val="1"/>
                <w:szCs w:val="1"/>
                <w:color w:val="auto"/>
              </w:rPr>
            </w:pPr>
          </w:p>
        </w:tc>
        <w:tc>
          <w:tcPr>
            <w:tcW w:w="880" w:type="dxa"/>
            <w:vAlign w:val="bottom"/>
            <w:tcBorders>
              <w:top w:val="single" w:sz="8" w:color="auto"/>
            </w:tcBorders>
            <w:shd w:val="clear" w:color="auto" w:fill="000000"/>
          </w:tcPr>
          <w:p>
            <w:pPr>
              <w:spacing w:after="0" w:line="20" w:lineRule="exact"/>
              <w:rPr>
                <w:sz w:val="1"/>
                <w:szCs w:val="1"/>
                <w:color w:val="auto"/>
              </w:rPr>
            </w:pPr>
          </w:p>
        </w:tc>
        <w:tc>
          <w:tcPr>
            <w:tcW w:w="80" w:type="dxa"/>
            <w:vAlign w:val="bottom"/>
            <w:tcBorders>
              <w:top w:val="single" w:sz="8" w:color="CFF0FC"/>
            </w:tcBorders>
            <w:shd w:val="clear" w:color="auto" w:fill="CFF0FC"/>
          </w:tcPr>
          <w:p>
            <w:pPr>
              <w:spacing w:after="0" w:line="20" w:lineRule="exact"/>
              <w:rPr>
                <w:sz w:val="1"/>
                <w:szCs w:val="1"/>
                <w:color w:val="auto"/>
              </w:rPr>
            </w:pPr>
          </w:p>
        </w:tc>
        <w:tc>
          <w:tcPr>
            <w:tcW w:w="40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420" w:type="dxa"/>
            <w:vAlign w:val="bottom"/>
          </w:tcPr>
          <w:p>
            <w:pPr>
              <w:spacing w:after="0"/>
              <w:rPr>
                <w:sz w:val="15"/>
                <w:szCs w:val="15"/>
                <w:color w:val="auto"/>
              </w:rPr>
            </w:pPr>
          </w:p>
        </w:tc>
        <w:tc>
          <w:tcPr>
            <w:tcW w:w="700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Unpaid purchase of property and equipment</w:t>
            </w:r>
          </w:p>
        </w:tc>
        <w:tc>
          <w:tcPr>
            <w:tcW w:w="880" w:type="dxa"/>
            <w:vAlign w:val="bottom"/>
            <w:gridSpan w:val="2"/>
          </w:tcPr>
          <w:p>
            <w:pPr>
              <w:jc w:val="right"/>
              <w:ind w:right="360"/>
              <w:spacing w:after="0"/>
              <w:rPr>
                <w:sz w:val="20"/>
                <w:szCs w:val="20"/>
                <w:color w:val="auto"/>
              </w:rPr>
            </w:pPr>
            <w:r>
              <w:rPr>
                <w:rFonts w:ascii="Times New Roman" w:cs="Times New Roman" w:eastAsia="Times New Roman" w:hAnsi="Times New Roman"/>
                <w:sz w:val="16"/>
                <w:szCs w:val="16"/>
                <w:b w:val="1"/>
                <w:bCs w:val="1"/>
                <w:color w:val="auto"/>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31</w:t>
            </w:r>
          </w:p>
        </w:tc>
        <w:tc>
          <w:tcPr>
            <w:tcW w:w="160" w:type="dxa"/>
            <w:vAlign w:val="bottom"/>
          </w:tcPr>
          <w:p>
            <w:pPr>
              <w:spacing w:after="0"/>
              <w:rPr>
                <w:sz w:val="15"/>
                <w:szCs w:val="15"/>
                <w:color w:val="auto"/>
              </w:rPr>
            </w:pPr>
          </w:p>
        </w:tc>
        <w:tc>
          <w:tcPr>
            <w:tcW w:w="540" w:type="dxa"/>
            <w:vAlign w:val="bottom"/>
            <w:gridSpan w:val="2"/>
          </w:tcPr>
          <w:p>
            <w:pPr>
              <w:jc w:val="right"/>
              <w:ind w:right="340"/>
              <w:spacing w:after="0"/>
              <w:rPr>
                <w:sz w:val="20"/>
                <w:szCs w:val="20"/>
                <w:color w:val="auto"/>
              </w:rPr>
            </w:pPr>
            <w:r>
              <w:rPr>
                <w:rFonts w:ascii="Times New Roman" w:cs="Times New Roman" w:eastAsia="Times New Roman" w:hAnsi="Times New Roman"/>
                <w:sz w:val="16"/>
                <w:szCs w:val="16"/>
                <w:b w:val="1"/>
                <w:bCs w:val="1"/>
                <w:color w:val="auto"/>
              </w:rPr>
              <w:t>$</w:t>
            </w:r>
          </w:p>
        </w:tc>
        <w:tc>
          <w:tcPr>
            <w:tcW w:w="96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b w:val="1"/>
                <w:bCs w:val="1"/>
                <w:color w:val="auto"/>
              </w:rPr>
              <w:t>—</w:t>
            </w:r>
          </w:p>
        </w:tc>
        <w:tc>
          <w:tcPr>
            <w:tcW w:w="40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420" w:type="dxa"/>
            <w:vAlign w:val="bottom"/>
          </w:tcPr>
          <w:p>
            <w:pPr>
              <w:spacing w:after="0" w:line="20" w:lineRule="exact"/>
              <w:rPr>
                <w:sz w:val="1"/>
                <w:szCs w:val="1"/>
                <w:color w:val="auto"/>
              </w:rPr>
            </w:pPr>
          </w:p>
        </w:tc>
        <w:tc>
          <w:tcPr>
            <w:tcW w:w="70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420" w:type="dxa"/>
            <w:vAlign w:val="bottom"/>
          </w:tcPr>
          <w:p>
            <w:pPr>
              <w:spacing w:after="0"/>
              <w:rPr>
                <w:sz w:val="19"/>
                <w:szCs w:val="19"/>
                <w:color w:val="auto"/>
              </w:rPr>
            </w:pPr>
          </w:p>
        </w:tc>
        <w:tc>
          <w:tcPr>
            <w:tcW w:w="700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6"/>
                <w:szCs w:val="16"/>
                <w:color w:val="auto"/>
              </w:rPr>
              <w:t>Initial measurement of warrant liabilities</w:t>
            </w:r>
          </w:p>
        </w:tc>
        <w:tc>
          <w:tcPr>
            <w:tcW w:w="880" w:type="dxa"/>
            <w:vAlign w:val="bottom"/>
            <w:gridSpan w:val="2"/>
            <w:shd w:val="clear" w:color="auto" w:fill="CFF0FC"/>
          </w:tcPr>
          <w:p>
            <w:pPr>
              <w:jc w:val="right"/>
              <w:ind w:right="360"/>
              <w:spacing w:after="0"/>
              <w:rPr>
                <w:sz w:val="20"/>
                <w:szCs w:val="20"/>
                <w:color w:val="auto"/>
              </w:rPr>
            </w:pPr>
            <w:r>
              <w:rPr>
                <w:rFonts w:ascii="Times New Roman" w:cs="Times New Roman" w:eastAsia="Times New Roman" w:hAnsi="Times New Roman"/>
                <w:sz w:val="16"/>
                <w:szCs w:val="16"/>
                <w:b w:val="1"/>
                <w:bCs w:val="1"/>
                <w:color w:val="auto"/>
              </w:rPr>
              <w:t>$</w:t>
            </w: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b w:val="1"/>
                <w:bCs w:val="1"/>
                <w:color w:val="auto"/>
              </w:rPr>
              <w:t>2,858</w:t>
            </w:r>
          </w:p>
        </w:tc>
        <w:tc>
          <w:tcPr>
            <w:tcW w:w="160" w:type="dxa"/>
            <w:vAlign w:val="bottom"/>
            <w:shd w:val="clear" w:color="auto" w:fill="CFF0FC"/>
          </w:tcPr>
          <w:p>
            <w:pPr>
              <w:spacing w:after="0"/>
              <w:rPr>
                <w:sz w:val="19"/>
                <w:szCs w:val="19"/>
                <w:color w:val="auto"/>
              </w:rPr>
            </w:pPr>
          </w:p>
        </w:tc>
        <w:tc>
          <w:tcPr>
            <w:tcW w:w="540" w:type="dxa"/>
            <w:vAlign w:val="bottom"/>
            <w:gridSpan w:val="2"/>
            <w:shd w:val="clear" w:color="auto" w:fill="CFF0FC"/>
          </w:tcPr>
          <w:p>
            <w:pPr>
              <w:jc w:val="right"/>
              <w:ind w:right="340"/>
              <w:spacing w:after="0"/>
              <w:rPr>
                <w:sz w:val="20"/>
                <w:szCs w:val="20"/>
                <w:color w:val="auto"/>
              </w:rPr>
            </w:pPr>
            <w:r>
              <w:rPr>
                <w:rFonts w:ascii="Times New Roman" w:cs="Times New Roman" w:eastAsia="Times New Roman" w:hAnsi="Times New Roman"/>
                <w:sz w:val="16"/>
                <w:szCs w:val="16"/>
                <w:b w:val="1"/>
                <w:bCs w:val="1"/>
                <w:color w:val="auto"/>
              </w:rPr>
              <w:t>$</w:t>
            </w:r>
          </w:p>
        </w:tc>
        <w:tc>
          <w:tcPr>
            <w:tcW w:w="96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6"/>
                <w:szCs w:val="16"/>
                <w:b w:val="1"/>
                <w:bCs w:val="1"/>
                <w:color w:val="auto"/>
              </w:rPr>
              <w:t>—</w:t>
            </w:r>
          </w:p>
        </w:tc>
        <w:tc>
          <w:tcPr>
            <w:tcW w:w="4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960"/>
        </w:trPr>
        <w:tc>
          <w:tcPr>
            <w:tcW w:w="420" w:type="dxa"/>
            <w:vAlign w:val="bottom"/>
            <w:tcBorders>
              <w:bottom w:val="single" w:sz="8" w:color="9A9A9A"/>
            </w:tcBorders>
          </w:tcPr>
          <w:p>
            <w:pPr>
              <w:spacing w:after="0"/>
              <w:rPr>
                <w:sz w:val="24"/>
                <w:szCs w:val="24"/>
                <w:color w:val="auto"/>
              </w:rPr>
            </w:pPr>
          </w:p>
        </w:tc>
        <w:tc>
          <w:tcPr>
            <w:tcW w:w="7000" w:type="dxa"/>
            <w:vAlign w:val="bottom"/>
            <w:tcBorders>
              <w:top w:val="single" w:sz="8" w:color="CFF0FC"/>
              <w:bottom w:val="single" w:sz="8" w:color="9A9A9A"/>
            </w:tcBorders>
          </w:tcPr>
          <w:p>
            <w:pPr>
              <w:spacing w:after="0"/>
              <w:rPr>
                <w:sz w:val="24"/>
                <w:szCs w:val="24"/>
                <w:color w:val="auto"/>
              </w:rPr>
            </w:pPr>
          </w:p>
        </w:tc>
        <w:tc>
          <w:tcPr>
            <w:tcW w:w="440" w:type="dxa"/>
            <w:vAlign w:val="bottom"/>
            <w:tcBorders>
              <w:top w:val="single" w:sz="8" w:color="CFF0FC"/>
              <w:bottom w:val="single" w:sz="8" w:color="9A9A9A"/>
            </w:tcBorders>
          </w:tcPr>
          <w:p>
            <w:pPr>
              <w:spacing w:after="0"/>
              <w:rPr>
                <w:sz w:val="24"/>
                <w:szCs w:val="24"/>
                <w:color w:val="auto"/>
              </w:rPr>
            </w:pPr>
          </w:p>
        </w:tc>
        <w:tc>
          <w:tcPr>
            <w:tcW w:w="440" w:type="dxa"/>
            <w:vAlign w:val="bottom"/>
            <w:tcBorders>
              <w:top w:val="single" w:sz="8" w:color="auto"/>
              <w:bottom w:val="single" w:sz="8" w:color="9A9A9A"/>
            </w:tcBorders>
          </w:tcPr>
          <w:p>
            <w:pPr>
              <w:spacing w:after="0"/>
              <w:rPr>
                <w:sz w:val="24"/>
                <w:szCs w:val="24"/>
                <w:color w:val="auto"/>
              </w:rPr>
            </w:pPr>
          </w:p>
        </w:tc>
        <w:tc>
          <w:tcPr>
            <w:tcW w:w="880" w:type="dxa"/>
            <w:vAlign w:val="bottom"/>
            <w:tcBorders>
              <w:top w:val="single" w:sz="8" w:color="auto"/>
              <w:bottom w:val="single" w:sz="8" w:color="9A9A9A"/>
            </w:tcBorders>
          </w:tcPr>
          <w:p>
            <w:pPr>
              <w:spacing w:after="0"/>
              <w:rPr>
                <w:sz w:val="24"/>
                <w:szCs w:val="24"/>
                <w:color w:val="auto"/>
              </w:rPr>
            </w:pPr>
          </w:p>
        </w:tc>
        <w:tc>
          <w:tcPr>
            <w:tcW w:w="160" w:type="dxa"/>
            <w:vAlign w:val="bottom"/>
            <w:tcBorders>
              <w:top w:val="single" w:sz="8" w:color="CFF0FC"/>
              <w:bottom w:val="single" w:sz="8" w:color="9A9A9A"/>
            </w:tcBorders>
          </w:tcPr>
          <w:p>
            <w:pPr>
              <w:spacing w:after="0"/>
              <w:rPr>
                <w:sz w:val="24"/>
                <w:szCs w:val="24"/>
                <w:color w:val="auto"/>
              </w:rPr>
            </w:pPr>
          </w:p>
        </w:tc>
        <w:tc>
          <w:tcPr>
            <w:tcW w:w="120" w:type="dxa"/>
            <w:vAlign w:val="bottom"/>
            <w:tcBorders>
              <w:top w:val="single" w:sz="8" w:color="CFF0FC"/>
              <w:bottom w:val="single" w:sz="8" w:color="9A9A9A"/>
            </w:tcBorders>
          </w:tcPr>
          <w:p>
            <w:pPr>
              <w:spacing w:after="0"/>
              <w:rPr>
                <w:sz w:val="24"/>
                <w:szCs w:val="24"/>
                <w:color w:val="auto"/>
              </w:rPr>
            </w:pPr>
          </w:p>
        </w:tc>
        <w:tc>
          <w:tcPr>
            <w:tcW w:w="420" w:type="dxa"/>
            <w:vAlign w:val="bottom"/>
            <w:tcBorders>
              <w:top w:val="single" w:sz="8" w:color="auto"/>
              <w:bottom w:val="single" w:sz="8" w:color="9A9A9A"/>
            </w:tcBorders>
          </w:tcPr>
          <w:p>
            <w:pPr>
              <w:spacing w:after="0"/>
              <w:rPr>
                <w:sz w:val="24"/>
                <w:szCs w:val="24"/>
                <w:color w:val="auto"/>
              </w:rPr>
            </w:pPr>
          </w:p>
        </w:tc>
        <w:tc>
          <w:tcPr>
            <w:tcW w:w="880" w:type="dxa"/>
            <w:vAlign w:val="bottom"/>
            <w:tcBorders>
              <w:top w:val="single" w:sz="8" w:color="auto"/>
              <w:bottom w:val="single" w:sz="8" w:color="9A9A9A"/>
            </w:tcBorders>
          </w:tcPr>
          <w:p>
            <w:pPr>
              <w:spacing w:after="0"/>
              <w:rPr>
                <w:sz w:val="24"/>
                <w:szCs w:val="24"/>
                <w:color w:val="auto"/>
              </w:rPr>
            </w:pPr>
          </w:p>
        </w:tc>
        <w:tc>
          <w:tcPr>
            <w:tcW w:w="80" w:type="dxa"/>
            <w:vAlign w:val="bottom"/>
            <w:tcBorders>
              <w:top w:val="single" w:sz="8" w:color="CFF0FC"/>
              <w:bottom w:val="single" w:sz="8" w:color="9A9A9A"/>
            </w:tcBorders>
          </w:tcPr>
          <w:p>
            <w:pPr>
              <w:spacing w:after="0"/>
              <w:rPr>
                <w:sz w:val="24"/>
                <w:szCs w:val="24"/>
                <w:color w:val="auto"/>
              </w:rPr>
            </w:pPr>
          </w:p>
        </w:tc>
        <w:tc>
          <w:tcPr>
            <w:tcW w:w="40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5834380</wp:posOffset>
            </wp:positionH>
            <wp:positionV relativeFrom="paragraph">
              <wp:posOffset>-3119755</wp:posOffset>
            </wp:positionV>
            <wp:extent cx="68580" cy="825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6828790</wp:posOffset>
            </wp:positionH>
            <wp:positionV relativeFrom="paragraph">
              <wp:posOffset>-3119755</wp:posOffset>
            </wp:positionV>
            <wp:extent cx="59690" cy="825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59690" cy="8255"/>
                    </a:xfrm>
                    <a:prstGeom prst="rect">
                      <a:avLst/>
                    </a:prstGeom>
                    <a:noFill/>
                  </pic:spPr>
                </pic:pic>
              </a:graphicData>
            </a:graphic>
          </wp:anchor>
        </w:drawing>
        <w:drawing>
          <wp:anchor simplePos="0" relativeHeight="251657728" behindDoc="1" locked="0" layoutInCell="0" allowOverlap="1">
            <wp:simplePos x="0" y="0"/>
            <wp:positionH relativeFrom="column">
              <wp:posOffset>5834380</wp:posOffset>
            </wp:positionH>
            <wp:positionV relativeFrom="paragraph">
              <wp:posOffset>-2339340</wp:posOffset>
            </wp:positionV>
            <wp:extent cx="68580" cy="889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6828790</wp:posOffset>
            </wp:positionH>
            <wp:positionV relativeFrom="paragraph">
              <wp:posOffset>-2339340</wp:posOffset>
            </wp:positionV>
            <wp:extent cx="59690" cy="889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59690" cy="8890"/>
                    </a:xfrm>
                    <a:prstGeom prst="rect">
                      <a:avLst/>
                    </a:prstGeom>
                    <a:noFill/>
                  </pic:spPr>
                </pic:pic>
              </a:graphicData>
            </a:graphic>
          </wp:anchor>
        </w:drawing>
        <w:drawing>
          <wp:anchor simplePos="0" relativeHeight="251657728" behindDoc="1" locked="0" layoutInCell="0" allowOverlap="1">
            <wp:simplePos x="0" y="0"/>
            <wp:positionH relativeFrom="column">
              <wp:posOffset>5834380</wp:posOffset>
            </wp:positionH>
            <wp:positionV relativeFrom="paragraph">
              <wp:posOffset>-1799590</wp:posOffset>
            </wp:positionV>
            <wp:extent cx="68580" cy="889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5834380</wp:posOffset>
            </wp:positionH>
            <wp:positionV relativeFrom="paragraph">
              <wp:posOffset>-1782445</wp:posOffset>
            </wp:positionV>
            <wp:extent cx="68580" cy="825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6828790</wp:posOffset>
            </wp:positionH>
            <wp:positionV relativeFrom="paragraph">
              <wp:posOffset>-1799590</wp:posOffset>
            </wp:positionV>
            <wp:extent cx="59690" cy="889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59690" cy="8890"/>
                    </a:xfrm>
                    <a:prstGeom prst="rect">
                      <a:avLst/>
                    </a:prstGeom>
                    <a:noFill/>
                  </pic:spPr>
                </pic:pic>
              </a:graphicData>
            </a:graphic>
          </wp:anchor>
        </w:drawing>
        <w:drawing>
          <wp:anchor simplePos="0" relativeHeight="251657728" behindDoc="1" locked="0" layoutInCell="0" allowOverlap="1">
            <wp:simplePos x="0" y="0"/>
            <wp:positionH relativeFrom="column">
              <wp:posOffset>6828790</wp:posOffset>
            </wp:positionH>
            <wp:positionV relativeFrom="paragraph">
              <wp:posOffset>-1782445</wp:posOffset>
            </wp:positionV>
            <wp:extent cx="59690" cy="825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59690" cy="8255"/>
                    </a:xfrm>
                    <a:prstGeom prst="rect">
                      <a:avLst/>
                    </a:prstGeom>
                    <a:noFill/>
                  </pic:spPr>
                </pic:pic>
              </a:graphicData>
            </a:graphic>
          </wp:anchor>
        </w:drawing>
        <w:drawing>
          <wp:anchor simplePos="0" relativeHeight="251657728" behindDoc="1" locked="0" layoutInCell="0" allowOverlap="1">
            <wp:simplePos x="0" y="0"/>
            <wp:positionH relativeFrom="column">
              <wp:posOffset>5834380</wp:posOffset>
            </wp:positionH>
            <wp:positionV relativeFrom="paragraph">
              <wp:posOffset>-967740</wp:posOffset>
            </wp:positionV>
            <wp:extent cx="68580" cy="825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5834380</wp:posOffset>
            </wp:positionH>
            <wp:positionV relativeFrom="paragraph">
              <wp:posOffset>-950595</wp:posOffset>
            </wp:positionV>
            <wp:extent cx="68580" cy="825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6828790</wp:posOffset>
            </wp:positionH>
            <wp:positionV relativeFrom="paragraph">
              <wp:posOffset>-967740</wp:posOffset>
            </wp:positionV>
            <wp:extent cx="59690" cy="825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59690" cy="8255"/>
                    </a:xfrm>
                    <a:prstGeom prst="rect">
                      <a:avLst/>
                    </a:prstGeom>
                    <a:noFill/>
                  </pic:spPr>
                </pic:pic>
              </a:graphicData>
            </a:graphic>
          </wp:anchor>
        </w:drawing>
        <w:drawing>
          <wp:anchor simplePos="0" relativeHeight="251657728" behindDoc="1" locked="0" layoutInCell="0" allowOverlap="1">
            <wp:simplePos x="0" y="0"/>
            <wp:positionH relativeFrom="column">
              <wp:posOffset>6828790</wp:posOffset>
            </wp:positionH>
            <wp:positionV relativeFrom="paragraph">
              <wp:posOffset>-950595</wp:posOffset>
            </wp:positionV>
            <wp:extent cx="59690" cy="825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59690" cy="8255"/>
                    </a:xfrm>
                    <a:prstGeom prst="rect">
                      <a:avLst/>
                    </a:prstGeom>
                    <a:noFill/>
                  </pic:spPr>
                </pic:pic>
              </a:graphicData>
            </a:graphic>
          </wp:anchor>
        </w:drawing>
        <w:drawing>
          <wp:anchor simplePos="0" relativeHeight="251657728" behindDoc="1" locked="0" layoutInCell="0" allowOverlap="1">
            <wp:simplePos x="0" y="0"/>
            <wp:positionH relativeFrom="column">
              <wp:posOffset>5834380</wp:posOffset>
            </wp:positionH>
            <wp:positionV relativeFrom="paragraph">
              <wp:posOffset>-659765</wp:posOffset>
            </wp:positionV>
            <wp:extent cx="68580" cy="889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5834380</wp:posOffset>
            </wp:positionH>
            <wp:positionV relativeFrom="paragraph">
              <wp:posOffset>-642620</wp:posOffset>
            </wp:positionV>
            <wp:extent cx="68580" cy="889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6828790</wp:posOffset>
            </wp:positionH>
            <wp:positionV relativeFrom="paragraph">
              <wp:posOffset>-659765</wp:posOffset>
            </wp:positionV>
            <wp:extent cx="59690" cy="889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59690" cy="8890"/>
                    </a:xfrm>
                    <a:prstGeom prst="rect">
                      <a:avLst/>
                    </a:prstGeom>
                    <a:noFill/>
                  </pic:spPr>
                </pic:pic>
              </a:graphicData>
            </a:graphic>
          </wp:anchor>
        </w:drawing>
        <w:drawing>
          <wp:anchor simplePos="0" relativeHeight="251657728" behindDoc="1" locked="0" layoutInCell="0" allowOverlap="1">
            <wp:simplePos x="0" y="0"/>
            <wp:positionH relativeFrom="column">
              <wp:posOffset>6828790</wp:posOffset>
            </wp:positionH>
            <wp:positionV relativeFrom="paragraph">
              <wp:posOffset>-642620</wp:posOffset>
            </wp:positionV>
            <wp:extent cx="59690" cy="889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59690" cy="8890"/>
                    </a:xfrm>
                    <a:prstGeom prst="rect">
                      <a:avLst/>
                    </a:prstGeom>
                    <a:noFill/>
                  </pic:spPr>
                </pic:pic>
              </a:graphicData>
            </a:graphic>
          </wp:anchor>
        </w:drawing>
      </w:r>
    </w:p>
    <w:p>
      <w:pPr>
        <w:sectPr>
          <w:pgSz w:w="11900" w:h="16838" w:orient="portrait"/>
          <w:cols w:equalWidth="0" w:num="1">
            <w:col w:w="11240"/>
          </w:cols>
          <w:pgMar w:left="320" w:top="1352" w:right="339" w:bottom="1440" w:gutter="0" w:footer="0" w:header="0"/>
        </w:sectPr>
      </w:pPr>
    </w:p>
    <w:bookmarkStart w:id="9" w:name="page10"/>
    <w:bookmarkEnd w:id="9"/>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19495CFF"/>
    <w:multiLevelType w:val="hybridMultilevel"/>
    <w:lvl w:ilvl="0">
      <w:lvlJc w:val="left"/>
      <w:lvlText w:val="☐"/>
      <w:numFmt w:val="bullet"/>
      <w:start w:val="1"/>
    </w:lvl>
  </w:abstractNum>
  <w:abstractNum w:abstractNumId="1">
    <w:nsid w:val="2AE8944A"/>
    <w:multiLevelType w:val="hybridMultilevel"/>
    <w:lvl w:ilvl="0">
      <w:lvlJc w:val="left"/>
      <w:lvlText w:val="•"/>
      <w:numFmt w:val="bullet"/>
      <w:start w:val="1"/>
    </w:lvl>
  </w:abstractNum>
  <w:abstractNum w:abstractNumId="2">
    <w:nsid w:val="625558EC"/>
    <w:multiLevelType w:val="hybridMultilevel"/>
    <w:lvl w:ilvl="0">
      <w:lvlJc w:val="left"/>
      <w:lvlText w:val="•"/>
      <w:numFmt w:val="bullet"/>
      <w:start w:val="1"/>
    </w:lvl>
  </w:abstractNum>
  <w:abstractNum w:abstractNumId="3">
    <w:nsid w:val="238E1F29"/>
    <w:multiLevelType w:val="hybridMultilevel"/>
    <w:lvl w:ilvl="0">
      <w:lvlJc w:val="left"/>
      <w:lvlText w:val="•"/>
      <w:numFmt w:val="bullet"/>
      <w:start w:val="1"/>
    </w:lvl>
  </w:abstractNum>
  <w:abstractNum w:abstractNumId="4">
    <w:nsid w:val="46E87CCD"/>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jpeg"/><Relationship Id="rId22" Type="http://schemas.openxmlformats.org/officeDocument/2006/relationships/image" Target="media/image15.png"/><Relationship Id="rId23" Type="http://schemas.openxmlformats.org/officeDocument/2006/relationships/image" Target="media/image16.jpeg"/><Relationship Id="rId24" Type="http://schemas.openxmlformats.org/officeDocument/2006/relationships/image" Target="media/image17.png"/><Relationship Id="rId25" Type="http://schemas.openxmlformats.org/officeDocument/2006/relationships/image" Target="media/image18.jpeg"/><Relationship Id="rId26" Type="http://schemas.openxmlformats.org/officeDocument/2006/relationships/image" Target="media/image19.png"/><Relationship Id="rId27" Type="http://schemas.openxmlformats.org/officeDocument/2006/relationships/image" Target="media/image20.jpe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jpe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jpe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2026-03-18T15:19:01Z</dcterms:created>
  <dcterms:modified xsi:type="dcterms:W3CDTF">2026-03-18T15:19:01Z</dcterms:modified>
</cp:coreProperties>
</file>