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HALE BRETT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HYPERFINE,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351 NEW WHITFIELD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Hyperfine,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HYPR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65"/>
        <w:spacing w:after="0"/>
        <w:rPr>
          <w:sz w:val="20"/>
          <w:szCs w:val="20"/>
          <w:color w:val="auto"/>
        </w:rPr>
      </w:pPr>
      <w:r>
        <w:rPr>
          <w:rFonts w:ascii="Times New Roman" w:cs="Times New Roman" w:eastAsia="Times New Roman" w:hAnsi="Times New Roman"/>
          <w:sz w:val="17"/>
          <w:szCs w:val="17"/>
          <w:color w:val="0000FF"/>
        </w:rPr>
        <w:t>CFO and CAO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GUILFORD</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06437</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05/26/2026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6,047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599,765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ths Form 4 were effected to cover tax witholding obligations in connection with the vesting of restricted stock units ("RSUs") that were granted on March 31, 2025 pursuant to a "sell to over" provision included in the RSU agreement.</w:t>
      </w:r>
    </w:p>
    <w:p>
      <w:pPr>
        <w:spacing w:after="0" w:line="7"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$1.63 to $1.715 per share. Full information regarding the number of shares sold at each price shall be provided upon request to the staff of the U.S. Securities and Exchange Commission, the Issuer, or a security holder of the Issuer.</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Brett Hale</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5293" TargetMode="External"/><Relationship Id="rId14" Type="http://schemas.openxmlformats.org/officeDocument/2006/relationships/hyperlink" Target="http://www.sec.gov/cgi-bin/browse-edgar?action=getcompany&amp;CIK=0001833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2026-05-27T15:45:25Z</dcterms:created>
  <dcterms:modified xsi:type="dcterms:W3CDTF">2026-05-27T15:45:25Z</dcterms:modified>
</cp:coreProperties>
</file>