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hypr-20260917.htm"/>
      <w:bookmarkStart w:id="1" w:name="kshypr20260917"/>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Hyperfine,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98-1569027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351 New Whitfield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Guilford, Connecticut</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06437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(866)</w:t>
            </w:r>
            <w:r>
              <w:rPr>
                <w:rFonts w:ascii="Times New Roman" w:hAnsi="Times New Roman"/>
                <w:color w:val="000000"/>
                <w:sz w:val="20"/>
              </w:rPr>
              <w:t xml:space="preserve"> </w:t>
            </w:r>
            <w:r>
              <w:rPr>
                <w:rFonts w:ascii="Times New Roman" w:hAnsi="Times New Roman"/>
                <w:b/>
                <w:color w:val="000000"/>
                <w:sz w:val="20"/>
              </w:rPr>
              <w:t>796-6767</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HYPR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17, 2026, Hyperfine, Inc. (the “Company”) received written notice (the “Notice”) from the Listing Qualifications Department (the “Staff”) of The Nasdaq Stock Market LLC (“Nasdaq”) notifying the Company that, because the closing bid price for the Company’s Class A common stock, par value $0.0001 per share (the “Common Stock”), has fallen below $1.00 per share for 30 consecutive business days, the Company no longer meets the minimum bid price requirement for continued inclusion on The Nasdaq Global Market pursuant to Nasdaq Listing Rule 5450(a)(1) (the “Bid Price Requirement”). This Notice has no immediate effect on the listing or trading of the Company’s Common Stock, which continues to trade on The Nasdaq Global Market under the symbol “HYPR”. The Notice also does not affect the ongoing business operations of the Company or its reporting requirements with the Securities and Exchange Commission.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Nasdaq Listing Rule 5810(c)(3)(A) (the “Compliance Period Rule”), the Company has been provided an initial period of 180 calendar days, or until March 16, 2027 (the “Compliance Date”), to regain compliance with the Bid Price Requirement. To regain compliance, the closing bid price of the Company’s Common Stock must be at least $1.00 per share for a minimum of 10 consecutive business days as required under the Compliance Period Rule (unless the Staff exercises its discretion to extend this ten-day period pursuant to Nasdaq Listing Rule 5810(c)(3)(H)).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Company does not regain compliance with the Bid Price Requirement by the Compliance Date, the Company may be eligible for an additional 180 calendar day compliance period. To qualify, the Company would need to transfer the listing of its Common Stock to The Nasdaq Capital Market and meet the continued listing requirement for the market value of publicly held shares and all other initial listing standards, with the exception of the Bid Price Requirement. To effect such a transfer, the Company would also need to pay an application fee to Nasdaq and would need to provide written notice to the Staff of the Company’s intention to cure the deficiency during the additional compliance period, for example, by implementing a reverse stock split, if necessary.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Staff concludes that the Company will not be able to cure the deficiency, or if the Company does not regain compliance with the Bid Price Requirement within such additional 180 calendar day compliance period, the Staff will provide written notification to the Company that the Company’s Common Stock will be subject to delisting. At that time, the Company may appeal the Staff’s delisting determination to a Nasdaq Hearings Panel (the “Panel”). However, there can be no assurance that, if the Company receives a delisting notice and appeals the delisting determination by the Staff to the Panel, such appeal would be successful.</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intends to monitor the closing bid price of its Common Stock and will consider all available options to regain compliance with the Bid Price Requirement. However, there can be no assurance that the Company will be able to regain compliance with the Bid Price Requirement or that the Staff will grant the Company a further extension of time to regain compliance, if applicable.</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9979" w:type="dxa"/>
        <w:jc w:val="left"/>
        <w:tblInd w:w="0" w:type="dxa"/>
        <w:tblLayout w:type="fixed"/>
        <w:tblCellMar>
          <w:top w:w="28" w:type="dxa"/>
          <w:left w:w="28" w:type="dxa"/>
          <w:bottom w:w="28" w:type="dxa"/>
          <w:right w:w="28" w:type="dxa"/>
        </w:tblCellMar>
      </w:tblPr>
      <w:tblGrid>
        <w:gridCol w:w="556"/>
        <w:gridCol w:w="1726"/>
        <w:gridCol w:w="451"/>
        <w:gridCol w:w="724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2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HYPERFINE,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72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Brett Hale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Hale</w:t>
              <w:br/>
              <w:t>Chief Administrative Officer, Chief Financial Officer, Treasurer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897</Words>
  <Characters>4831</Characters>
  <CharactersWithSpaces>5724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