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hypr-20260806.htm"/>
      <w:bookmarkStart w:id="1" w:name="kshypr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Hyperfine,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001-39949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98-1569027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351 New Whitfield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Guilford, Connecticut</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06437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(866)</w:t>
            </w:r>
            <w:r>
              <w:rPr>
                <w:rFonts w:ascii="Times New Roman" w:hAnsi="Times New Roman"/>
                <w:color w:val="000000"/>
                <w:sz w:val="20"/>
              </w:rPr>
              <w:t xml:space="preserve"> </w:t>
            </w:r>
            <w:r>
              <w:rPr>
                <w:rFonts w:ascii="Times New Roman" w:hAnsi="Times New Roman"/>
                <w:b/>
                <w:color w:val="000000"/>
                <w:sz w:val="20"/>
              </w:rPr>
              <w:t>796-6767</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HYPR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6, 2026, Hyperfine, Inc. issued a press release announcing its results for the second quarter ended June 30, 2026 and providing a business update. A copy of the press release is furnished as Exhibit 99.1 hereto.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t>
        <w:b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453" w:type="dxa"/>
        <w:jc w:val="left"/>
        <w:tblInd w:w="0" w:type="dxa"/>
        <w:tblLayout w:type="fixed"/>
        <w:tblCellMar>
          <w:top w:w="28" w:type="dxa"/>
          <w:left w:w="28" w:type="dxa"/>
          <w:bottom w:w="28" w:type="dxa"/>
          <w:right w:w="28" w:type="dxa"/>
        </w:tblCellMar>
      </w:tblPr>
      <w:tblGrid>
        <w:gridCol w:w="706"/>
        <w:gridCol w:w="146"/>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hypr-ex99_1.htm">
              <w:r>
                <w:rPr>
                  <w:rStyle w:val="InternetLink"/>
                  <w:rFonts w:ascii="Times New Roman" w:hAnsi="Times New Roman"/>
                  <w:color w:val="0000FF"/>
                  <w:sz w:val="20"/>
                  <w:u w:val="single"/>
                </w:rPr>
                <w:t>Press Release dated August 6,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press release may contain hypertext links to information on our website. The information on our website is not incorporated by reference into this Current Report on Form 8-K and does not constitute a part of this Form 8-K.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9604" w:type="dxa"/>
        <w:jc w:val="left"/>
        <w:tblInd w:w="0" w:type="dxa"/>
        <w:tblLayout w:type="fixed"/>
        <w:tblCellMar>
          <w:top w:w="28" w:type="dxa"/>
          <w:left w:w="28" w:type="dxa"/>
          <w:bottom w:w="28" w:type="dxa"/>
          <w:right w:w="28" w:type="dxa"/>
        </w:tblCellMar>
      </w:tblPr>
      <w:tblGrid>
        <w:gridCol w:w="556"/>
        <w:gridCol w:w="1351"/>
        <w:gridCol w:w="451"/>
        <w:gridCol w:w="724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2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4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HYPERFINE,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724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Brett Hale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46" w:type="dxa"/>
            <w:tcBorders/>
            <w:tcMar>
              <w:top w:w="0" w:type="dxa"/>
              <w:left w:w="0" w:type="dxa"/>
              <w:bottom w:w="0" w:type="dxa"/>
              <w:right w:w="0" w:type="dxa"/>
            </w:tcMar>
            <w:vAlign w:val="center"/>
          </w:tcPr>
          <w:p>
            <w:pPr>
              <w:pStyle w:val="TableContents"/>
              <w:bidi w:val="0"/>
              <w:spacing w:before="187" w:after="187"/>
              <w:jc w:val="left"/>
              <w:rPr>
                <w:rFonts w:ascii="Times New Roman" w:hAnsi="Times New Roman"/>
                <w:color w:val="000000"/>
                <w:sz w:val="20"/>
              </w:rPr>
            </w:pPr>
            <w:r>
              <w:rPr>
                <w:rFonts w:ascii="Times New Roman" w:hAnsi="Times New Roman"/>
                <w:color w:val="000000"/>
                <w:sz w:val="20"/>
              </w:rPr>
              <w:t>Brett Hale</w:t>
              <w:br/>
              <w:t>Chief Administrative Officer, Chief Financial Officer, Treasurer and Corporate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hypr-ex99_1.htm"/>
      <w:bookmarkStart w:id="3" w:name="kshyprex99_1"/>
      <w:bookmarkEnd w:id="2"/>
      <w:bookmarkEnd w:id="3"/>
      <w:r>
        <w:rPr/>
        <w:t> </w:t>
      </w:r>
      <w:r>
        <w:br w:type="page"/>
      </w:r>
    </w:p>
    <w:p>
      <w:pPr>
        <w:pStyle w:val="TextBody"/>
        <w:bidi w:val="0"/>
        <w:jc w:val="left"/>
        <w:rPr/>
      </w:pPr>
      <w:r>
        <w:rPr/>
        <w:drawing>
          <wp:inline distT="0" distB="0" distL="0" distR="0">
            <wp:extent cx="256222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62225" cy="409575"/>
                    </a:xfrm>
                    <a:prstGeom prst="rect">
                      <a:avLst/>
                    </a:prstGeom>
                  </pic:spPr>
                </pic:pic>
              </a:graphicData>
            </a:graphic>
          </wp:inline>
        </w:drawing>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Hyperfine, Inc. Reports Second Quarter 2026 Financial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GUILFORD, Connecticut, August 6, 2026 (GLOBE NEWSWIRE) – Hyperfine, Inc. (Nasdaq: HYPR), the groundbreaking health technology company that has redefined brain imaging with the first FDA-cleared AI-powered portable magnetic resonance (MR) brain imaging system—the Swoop® system—today announced second quarter 2026 financial results and provided a business update.</w:t>
      </w:r>
    </w:p>
    <w:p>
      <w:pPr>
        <w:pStyle w:val="TextBody"/>
        <w:bidi w:val="0"/>
        <w:spacing w:before="200" w:after="283"/>
        <w:jc w:val="left"/>
        <w:rPr>
          <w:color w:val="000000"/>
        </w:rPr>
      </w:pPr>
      <w:r>
        <w:rPr>
          <w:color w:val="000000"/>
        </w:rPr>
        <w:t>“</w:t>
      </w:r>
      <w:r>
        <w:rPr>
          <w:rFonts w:ascii="Times New Roman" w:hAnsi="Times New Roman"/>
          <w:color w:val="000000"/>
          <w:sz w:val="20"/>
        </w:rPr>
        <w:t>Q2 was another strong quarter for Hyperfine, marked by solid growth in placements and revenue, continued gross margin expansion, disciplined operating expense management, and a strengthened balance sheet. One year into the launch of the next-generation Swoop® system and our entry into the neurology office market, we are seeing broader use across care settings and international markets. We are executing on our strategy to expand MRI access across sites of care, increase the clinical utility of our technology, and broaden our international reach. With record U.S. scan volume, continued momentum across hospital and office settings, and international commercial progress, portable brain MRI is moving from early adoption toward broader mainstream clinical use,” said Maria Sainz, Chief Executive Officer and President of Hyperfine, Inc.</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Achievements and Business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Obtained CE Marking and UK Conformity Assessment (UKCA) approval for both the next-generation Swoop® system and the latest Optive AI software in Europe.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Announced the European launch of the next-generation Swoop® system, with initial systems sold.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Achieved record U.S. Swoop® system scan volume milestones across multiple sites of care, reflecting expanding clinical utility and increasingly diverse use cases across hospital and office settings.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Formed a Global Neurosurgery Advisory Council of leading neurosurgeons from around the world to help guide the role of the Swoop® system in neurosurgical 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Presented results from the PRIME study showing portable MRI substantially reduces time to imaging in emergency departments.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Expanded Swoop® system evidence base with new peer-reviewed </w:t>
      </w:r>
      <w:r>
        <w:rPr>
          <w:rFonts w:ascii="Times New Roman" w:hAnsi="Times New Roman"/>
          <w:i/>
          <w:color w:val="000000"/>
          <w:sz w:val="20"/>
        </w:rPr>
        <w:t>Stroke</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Journal of Neurosurgery</w:t>
      </w:r>
      <w:r>
        <w:rPr>
          <w:color w:val="000000"/>
        </w:rPr>
        <w:t xml:space="preserve"> </w:t>
      </w:r>
      <w:r>
        <w:rPr>
          <w:rFonts w:ascii="Times New Roman" w:hAnsi="Times New Roman"/>
          <w:color w:val="000000"/>
          <w:sz w:val="20"/>
        </w:rPr>
        <w:t>publications, adding to more than 180 publications and 280 scientific presentations to date.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Second Quarter 2026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for the second quarter of 2026 were $3.9 million, increasing 44.8% compared to $2.7 million in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Sold 12 commercial Swoop® systems in the second quarter of 2026, increasing 50.0% compared to 8 in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for the second quarter of 2026 was $2.0 million, compared to $1.3 million in the second quarter of 2025, representing 50.7% gross margin in the second quarter of 2026, compared to 49.3% gross margin in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for the second quarter of 2026 were $3.9 million, decreasing 14.9% compared to $4.5 million in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marketing, general, and administrative expenses for the second quarter of 2026 were $6.6 million, increasing 3.2% compared to $6.4 million in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for the second quarter of 2026 was $9.3 million, equating to a net loss of $0.09 per share, as compared to a net loss of $9.2 million, or a net loss of $0.12 per share, for the second quarter of 2025. The second quarter of 2026 net loss includes a $0.6 million loss from a change in the fair value of warrant liabilities, compared to a less than $0.1 million gain in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were $43.5 million as of June 30, 2026, compared with $35.1 million as of December 31, 2025, primarily reflecting financing activities completed during the first half of 2026.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2026 Financial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continues to expect revenue for the full year 2026 to be approximately $20 to $22 million, representing 55% growth at the midpoint as compared to full year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562225" cy="409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62225" cy="409575"/>
                    </a:xfrm>
                    <a:prstGeom prst="rect">
                      <a:avLst/>
                    </a:prstGeom>
                  </pic:spPr>
                </pic:pic>
              </a:graphicData>
            </a:graphic>
          </wp:inline>
        </w:drawing>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Management continues to expect cash burn</w:t>
      </w:r>
      <w:r>
        <w:rPr>
          <w:rFonts w:ascii="Times New Roman" w:hAnsi="Times New Roman"/>
          <w:color w:val="000000"/>
          <w:sz w:val="13"/>
        </w:rPr>
        <w:t>1</w:t>
      </w:r>
      <w:r>
        <w:rPr>
          <w:color w:val="000000"/>
        </w:rPr>
        <w:t xml:space="preserve"> </w:t>
      </w:r>
      <w:r>
        <w:rPr>
          <w:rFonts w:ascii="Times New Roman" w:hAnsi="Times New Roman"/>
          <w:color w:val="000000"/>
          <w:sz w:val="20"/>
        </w:rPr>
        <w:t>for the full year 2026 to be approximately $26 to $28 million, representing a 10% decline at the midpoint as compared to full year 2025.</w:t>
      </w:r>
    </w:p>
    <w:p>
      <w:pPr>
        <w:pStyle w:val="TextBody"/>
        <w:bidi w:val="0"/>
        <w:spacing w:before="200" w:after="283"/>
        <w:jc w:val="left"/>
        <w:rPr>
          <w:rFonts w:ascii="Times New Roman" w:hAnsi="Times New Roman"/>
          <w:sz w:val="20"/>
        </w:rPr>
      </w:pPr>
      <w:r>
        <w:rPr>
          <w:rFonts w:ascii="Times New Roman" w:hAnsi="Times New Roman"/>
          <w:b/>
          <w:color w:val="000000"/>
          <w:sz w:val="13"/>
        </w:rPr>
        <w:t>1</w:t>
      </w:r>
      <w:r>
        <w:rPr>
          <w:rFonts w:ascii="Times New Roman" w:hAnsi="Times New Roman"/>
          <w:color w:val="000000"/>
          <w:sz w:val="20"/>
        </w:rPr>
        <w:t>Cash burn is calculated as change in cash and cash equivalents less net financing proceeds.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Conference Call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Hyperfine, Inc. will host a conference call at 1:30 p.m. PT/ 4:30 p.m. ET on Thursday, August 6, 2026 to discuss its second quarter 2026 financial results and provide a business update. Those interested in listening should register online by visiting https://investors.hyperfine.io/ and clicking on News &amp; Events. Participants are encouraged to register more than 15 minutes before the start of the call. A live and archived audio webcast will be available through the Investors page of Hyperfine, Inc.’s corporate website at https://investors.hyperfine.io/. </w:t>
      </w:r>
    </w:p>
    <w:p>
      <w:pPr>
        <w:pStyle w:val="TextBody"/>
        <w:bidi w:val="0"/>
        <w:spacing w:before="200" w:after="283"/>
        <w:jc w:val="left"/>
        <w:rPr>
          <w:rFonts w:ascii="Times New Roman" w:hAnsi="Times New Roman"/>
          <w:sz w:val="20"/>
        </w:rPr>
      </w:pPr>
      <w:r>
        <w:rPr>
          <w:rFonts w:ascii="Times New Roman" w:hAnsi="Times New Roman"/>
          <w:b/>
          <w:color w:val="000000"/>
          <w:sz w:val="20"/>
        </w:rPr>
        <w:t>About Hyperfine, Inc. and the Swoop® Portable MR Imaging® Systems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Hyperfine, Inc. (Nasdaq: HYPR) is the groundbreaking health technology company that has redefined brain imaging with the Swoop® system—the first U.S. Food and Drug Administration (FDA)-cleared, portable, ultra-low-field, magnetic resonance brain imaging system capable of providing imaging at multiple points of professional care. The mission of Hyperfine, Inc. is to revolutionize patient care globally through transformational, accessible, clinically relevant diagnostic imaging. Founded by Dr. Jonathan Rothberg in a technology-based incubator called 4Catalyzer, Hyperfine, Inc. scientists, engineers, and physicists developed the Swoop® system out of a passion for redefining brain imaging methodology and how clinicians can apply accessible diagnostic imaging to patient care. For more information, visit hyperfine.io.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Swoop® Portable MR Imaging® systems are FDA cleared for brain imaging of patients of all ages. They are portable, ultra-low-field magnetic resonance imaging devices for producing images that display the internal structure of the head where full diagnostic examination is not clinically practical. When interpreted by a trained physician, these images provide information that can be useful in determining a diagnosis. The Swoop® system also has CE Mark in the European Union and UKCA Mark in the United Kingdom. The Swoop® system is commercially available in a select number of international markets.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Hyperfine, Swoop, and Portable MR Imaging are registered trademarks of Hyperfine, Inc.</w:t>
      </w:r>
    </w:p>
    <w:p>
      <w:pPr>
        <w:pStyle w:val="TextBody"/>
        <w:bidi w:val="0"/>
        <w:spacing w:before="200" w:after="200"/>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color w:val="000000"/>
          <w:sz w:val="20"/>
        </w:rPr>
        <w:t>This press release includes “forward-looking statements” within the meaning of the “safe harbor” provisions of the Private Securities Litigation Reform Act of 1995. Actual results of Hyperfine, Inc. (the “Company”)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expectations about the Company’s financial and operating results, including, the Company’s expected revenue and cash burn for the full year 2026, the Company's cash runway, the Company’s goals and commercial plans, including the Company’s commercial rollout of the Company’s Optive AI</w:t>
      </w:r>
      <w:r>
        <w:rPr>
          <w:rFonts w:ascii="Times New Roman" w:hAnsi="Times New Roman"/>
          <w:color w:val="000000"/>
          <w:sz w:val="13"/>
        </w:rPr>
        <w:t>TM</w:t>
      </w:r>
      <w:r>
        <w:rPr>
          <w:rFonts w:ascii="Times New Roman" w:hAnsi="Times New Roman"/>
          <w:color w:val="000000"/>
          <w:sz w:val="20"/>
        </w:rPr>
        <w:t xml:space="preserve"> software and next generation Swoop® system, the acceleration of the adoption of the Swoop® system across multiple sites of care in the hospital, neurology office and international markets, the benefits of the Company’s products and services, progress on improvements and advancements in the Company’s products and services, and the Company’s future performance, including its financial performance, and its ability to implement its strategy. These forward-looking statements involve significant risks and uncertainties that could cause the actual results to differ materially from the expected results. Most of these factors are outside of the Company’s control and are difficult to predict. Factors that may cause such differences include, but are not limited to: the success, cost and timing of the Company’s product development and commercialization activities, including the degree that the Swoop® system is accepted and used by healthcare professionals; the Company’s ability to grow and manage growth profitably and retain its key employees; changes in applicable laws or regulations; the ability of the Company to raise financing in the future; the ability of the Company to obtain and maintain regulatory clearance or approval for its products, and any related restrictions and limitations of any cleared or approved product; the ability of the Company to identify, in-license or acquire additional technology; the ability of the Company to maintain its existing or future license, manufacturing, supply and distribution agreements and to obtain adequate supply of its products; existing and potential future National Institutes of Health funding pressures; existing and potential future effects from U.S. export controls and tariffs; the ability of the Company to compete with other companies currently marketing or engaged in the development of products and services that the Company is currently marketing or developing; the size and growth potential of the markets for the Company’s products and services, and its ability to serve those markets, either alone or in partnership with others; the pricing of the Company’s products and services and reimbursement for medical procedures conducted using the Company’s products and services; the Company’s ability to successfully complete and generate positive data from the PRIME study, ACTION PMR study, Contrast PMR study, CARE PMR study and NEURO PMR study; the Company’s ability to generate clinical evidence of the benefits of the Company’s products and services and to progress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562225"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62225" cy="409575"/>
                    </a:xfrm>
                    <a:prstGeom prst="rect">
                      <a:avLst/>
                    </a:prstGeom>
                  </pic:spPr>
                </pic:pic>
              </a:graphicData>
            </a:graphic>
          </wp:inline>
        </w:drawing>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on product advancements and improvements; the Company’s estimates regarding expenses, revenue, capital requirements and needs for additional financing; the Company’s financial performance; and other risks and uncertainties indicated from time to time in the Company’s filings with the Securities and Exchange Commission, including those under “Risk Factors” therein. The Company cautions readers that the foregoing list of factors is not exclusive and that readers should not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pStyle w:val="TextBody"/>
        <w:bidi w:val="0"/>
        <w:spacing w:before="0" w:after="200"/>
        <w:jc w:val="left"/>
        <w:rPr>
          <w:rFonts w:ascii="Times New Roman" w:hAnsi="Times New Roman"/>
          <w:sz w:val="20"/>
        </w:rPr>
      </w:pPr>
      <w:r>
        <w:rPr>
          <w:rFonts w:ascii="Times New Roman" w:hAnsi="Times New Roman"/>
          <w:b/>
          <w:color w:val="000000"/>
          <w:sz w:val="20"/>
        </w:rPr>
        <w:t>Investor Contact</w:t>
      </w:r>
      <w:r>
        <w:rPr>
          <w:rFonts w:ascii="Arial" w:hAnsi="Arial"/>
          <w:b/>
          <w:color w:val="000000"/>
          <w:sz w:val="20"/>
        </w:rPr>
        <w:br/>
      </w:r>
      <w:r>
        <w:rPr>
          <w:rFonts w:ascii="Times New Roman" w:hAnsi="Times New Roman"/>
          <w:color w:val="000000"/>
          <w:sz w:val="20"/>
        </w:rPr>
        <w:t>Webb Campbell</w:t>
        <w:br/>
        <w:t>Gilmartin Group LLC</w:t>
        <w:br/>
        <w:t>webb@gilmartinir.com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562225"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62225" cy="409575"/>
                    </a:xfrm>
                    <a:prstGeom prst="rect">
                      <a:avLst/>
                    </a:prstGeom>
                  </pic:spPr>
                </pic:pic>
              </a:graphicData>
            </a:graphic>
          </wp:inline>
        </w:drawing>
      </w:r>
    </w:p>
    <w:p>
      <w:pPr>
        <w:pStyle w:val="TextBody"/>
        <w:bidi w:val="0"/>
        <w:jc w:val="center"/>
        <w:rPr>
          <w:rFonts w:ascii="Times New Roman" w:hAnsi="Times New Roman"/>
          <w:sz w:val="20"/>
        </w:rPr>
      </w:pPr>
      <w:r>
        <w:rPr>
          <w:rFonts w:ascii="Times New Roman" w:hAnsi="Times New Roman"/>
          <w:b/>
          <w:color w:val="000000"/>
          <w:sz w:val="18"/>
        </w:rPr>
        <w:t>HYPERFINE, INC.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CONDENSED CONSOLIDATED BALANCE SHEETS</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and per share amounts)</w:t>
      </w:r>
    </w:p>
    <w:p>
      <w:pPr>
        <w:pStyle w:val="TextBody"/>
        <w:bidi w:val="0"/>
        <w:jc w:val="center"/>
        <w:rPr>
          <w:rFonts w:ascii="Times New Roman" w:hAnsi="Times New Roman"/>
          <w:color w:val="000000"/>
          <w:sz w:val="18"/>
        </w:rPr>
      </w:pPr>
      <w:r>
        <w:rPr>
          <w:rFonts w:ascii="Times New Roman" w:hAnsi="Times New Roman"/>
          <w:color w:val="000000"/>
          <w:sz w:val="18"/>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59"/>
        <w:gridCol w:w="146"/>
        <w:gridCol w:w="196"/>
        <w:gridCol w:w="751"/>
        <w:gridCol w:w="266"/>
        <w:gridCol w:w="246"/>
        <w:gridCol w:w="217"/>
        <w:gridCol w:w="832"/>
        <w:gridCol w:w="392"/>
      </w:tblGrid>
      <w:tr>
        <w:trPr/>
        <w:tc>
          <w:tcPr>
            <w:tcW w:w="7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June 30, </w:t>
              <w:b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December 31, </w:t>
              <w:br/>
              <w:t>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43,458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35,085</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less allowance of $495 and $1,372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5,254</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59,241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50,909</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2,549</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 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62,999</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55,262</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4,051</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grant funding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5,130</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11,732</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13,235</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 term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26,241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14,257</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Class A Common stock, $0.0001 par value per share; 600,000,000 shares authorized; 90,987,381 and 82,166,458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Class B Common stock, $0.0001 par value per share; 27,000,000 shares authorized; 15,055,288 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384,684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371,011</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(347,937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(330,016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36,758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41,005</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62,999</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55,262</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562225" cy="409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562225" cy="409575"/>
                    </a:xfrm>
                    <a:prstGeom prst="rect">
                      <a:avLst/>
                    </a:prstGeom>
                  </pic:spPr>
                </pic:pic>
              </a:graphicData>
            </a:graphic>
          </wp:inline>
        </w:drawing>
      </w:r>
    </w:p>
    <w:p>
      <w:pPr>
        <w:pStyle w:val="TextBody"/>
        <w:bidi w:val="0"/>
        <w:jc w:val="center"/>
        <w:rPr>
          <w:rFonts w:ascii="Times New Roman" w:hAnsi="Times New Roman"/>
          <w:sz w:val="20"/>
        </w:rPr>
      </w:pPr>
      <w:r>
        <w:rPr>
          <w:rFonts w:ascii="Times New Roman" w:hAnsi="Times New Roman"/>
          <w:b/>
          <w:color w:val="000000"/>
          <w:sz w:val="18"/>
        </w:rPr>
        <w:t>HYPERFINE, INC.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CONDENSED CONSOLIDATED STATEMENT OF OPERATIONS AND COMPREHENSIVE LOSS</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and per share amounts)</w:t>
      </w:r>
    </w:p>
    <w:p>
      <w:pPr>
        <w:pStyle w:val="TextBody"/>
        <w:bidi w:val="0"/>
        <w:jc w:val="center"/>
        <w:rPr>
          <w:rFonts w:ascii="Times New Roman" w:hAnsi="Times New Roman"/>
          <w:color w:val="000000"/>
          <w:sz w:val="18"/>
        </w:rPr>
      </w:pPr>
      <w:r>
        <w:rPr>
          <w:rFonts w:ascii="Times New Roman" w:hAnsi="Times New Roman"/>
          <w:color w:val="000000"/>
          <w:sz w:val="18"/>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84"/>
        <w:gridCol w:w="146"/>
        <w:gridCol w:w="196"/>
        <w:gridCol w:w="916"/>
        <w:gridCol w:w="166"/>
        <w:gridCol w:w="146"/>
        <w:gridCol w:w="196"/>
        <w:gridCol w:w="916"/>
        <w:gridCol w:w="166"/>
        <w:gridCol w:w="146"/>
        <w:gridCol w:w="196"/>
        <w:gridCol w:w="916"/>
        <w:gridCol w:w="166"/>
        <w:gridCol w:w="146"/>
        <w:gridCol w:w="196"/>
        <w:gridCol w:w="916"/>
        <w:gridCol w:w="591"/>
      </w:tblGrid>
      <w:tr>
        <w:trPr/>
        <w:tc>
          <w:tcPr>
            <w:tcW w:w="4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2,211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20,986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22,708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(20,497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(18,643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(17,921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(18,643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per common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Weighted-average shares used to compute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99,797,156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78,077,118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98,751,951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76,893,733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562225" cy="409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62225" cy="409575"/>
                    </a:xfrm>
                    <a:prstGeom prst="rect">
                      <a:avLst/>
                    </a:prstGeom>
                  </pic:spPr>
                </pic:pic>
              </a:graphicData>
            </a:graphic>
          </wp:inline>
        </w:drawing>
      </w:r>
    </w:p>
    <w:p>
      <w:pPr>
        <w:pStyle w:val="TextBody"/>
        <w:bidi w:val="0"/>
        <w:jc w:val="center"/>
        <w:rPr>
          <w:rFonts w:ascii="Times New Roman" w:hAnsi="Times New Roman"/>
          <w:b/>
          <w:color w:val="000000"/>
          <w:sz w:val="18"/>
        </w:rPr>
      </w:pPr>
      <w:r>
        <w:rPr>
          <w:rFonts w:ascii="Times New Roman" w:hAnsi="Times New Roman"/>
          <w:b/>
          <w:color w:val="000000"/>
          <w:sz w:val="18"/>
        </w:rPr>
        <w:t>HYPERFINE, INC. AND SUBSIDIARIES</w:t>
      </w:r>
    </w:p>
    <w:p>
      <w:pPr>
        <w:pStyle w:val="TextBody"/>
        <w:bidi w:val="0"/>
        <w:jc w:val="center"/>
        <w:rPr>
          <w:rFonts w:ascii="Times New Roman" w:hAnsi="Times New Roman"/>
          <w:b/>
          <w:color w:val="000000"/>
          <w:sz w:val="18"/>
        </w:rPr>
      </w:pPr>
      <w:r>
        <w:rPr>
          <w:rFonts w:ascii="Times New Roman" w:hAnsi="Times New Roman"/>
          <w:b/>
          <w:color w:val="000000"/>
          <w:sz w:val="18"/>
        </w:rPr>
        <w:t>CONDENSED CONSOLIDATED STATEMENT OF CASH FLOWS</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center"/>
        <w:rPr>
          <w:rFonts w:ascii="Times New Roman" w:hAnsi="Times New Roman"/>
          <w:color w:val="000000"/>
          <w:sz w:val="18"/>
        </w:rPr>
      </w:pPr>
      <w:r>
        <w:rPr>
          <w:rFonts w:ascii="Times New Roman" w:hAnsi="Times New Roman"/>
          <w:color w:val="000000"/>
          <w:sz w:val="18"/>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22"/>
        <w:gridCol w:w="146"/>
        <w:gridCol w:w="196"/>
        <w:gridCol w:w="661"/>
        <w:gridCol w:w="166"/>
        <w:gridCol w:w="146"/>
        <w:gridCol w:w="196"/>
        <w:gridCol w:w="661"/>
        <w:gridCol w:w="811"/>
      </w:tblGrid>
      <w:tr>
        <w:trPr/>
        <w:tc>
          <w:tcPr>
            <w:tcW w:w="7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(18,643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disposal of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long 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grant funding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Due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Operating lease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(17,159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Class A common stock under “at-the-market” offering program,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Class A common stock with warrants under February 2025 Offering,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6,056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37,673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44,764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25,578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reported in the balance sheets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25,420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44,764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25,578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 of noncash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warrants in connection with Loan Agreement,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Initial measurement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2,858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Unpaid 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86</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acquisition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Unpaid debt issuance and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3070</Words>
  <Characters>16854</Characters>
  <CharactersWithSpaces>20102</CharactersWithSpaces>
  <Paragraphs>1272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