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Hyperfine,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001-39949</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98-1569027</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351 New Whitfield Street</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Guilford, Connecticut</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06437</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796-6767</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HYPR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spacing w:after="0" w:line="257" w:lineRule="auto"/>
        <w:rPr>
          <w:sz w:val="20"/>
          <w:szCs w:val="20"/>
          <w:color w:val="auto"/>
        </w:rPr>
      </w:pPr>
      <w:r>
        <w:rPr>
          <w:rFonts w:ascii="Times New Roman" w:cs="Times New Roman" w:eastAsia="Times New Roman" w:hAnsi="Times New Roman"/>
          <w:sz w:val="18"/>
          <w:szCs w:val="18"/>
          <w:color w:val="auto"/>
        </w:rPr>
        <w:t>On May 21, 2025, R. Scott Huennekens, Chairperson of the Board of Directors (the “Board”) of Hyperfine, Inc. (the “Company”), notified the Company of his decision to resign as Chairperson and member of the Board, effective as of May 22, 2025 (the “Effective Date”), for personal reasons in light of other commitments. Mr. Huennekens’ resignation was not the result of any disagreement or dispute with the Company. The Company thanks</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Mr. Huennekens for his dedicated service and leadership during his time as Chairperson of the Board and his contributions to the Company as a valued advisor since 2021. In connection with Mr. Huennekens’ resignation, the Board also approved a decrease in the size of the Board from six to five members.</w:t>
      </w:r>
    </w:p>
    <w:p>
      <w:pPr>
        <w:spacing w:after="0" w:line="18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Additionally, on the Effective Date, the Board appointed Daniel J. Wolterman, a current member of the Board, as Chairperson of the Board. The Company looks forwards to Mr. Wolterman’s leadership in this role.</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Brett Hale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Chief Administrative Officer, Chief Financial Officer, Treasurer and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0980"/>
      </w:cols>
      <w:pgMar w:left="440" w:top="29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2025-05-23T16:07:20Z</dcterms:created>
  <dcterms:modified xsi:type="dcterms:W3CDTF">2025-05-23T16:07:20Z</dcterms:modified>
</cp:coreProperties>
</file>