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01161d424b5.htm"/>
        <w:bookmarkStart w:id="1" w:name="ksd901161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333-275449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November 22, 2023) </w:t>
      </w:r>
    </w:p>
    <w:p>
      <w:pPr>
        <w:pStyle w:val="TextBody"/>
        <w:bidi w:val="0"/>
        <w:spacing w:before="120" w:after="0"/>
        <w:jc w:val="center"/>
        <w:rPr>
          <w:rFonts w:ascii="Times New Roman" w:hAnsi="Times New Roman"/>
          <w:b/>
          <w:sz w:val="48"/>
        </w:rPr>
      </w:pPr>
      <w:r>
        <w:rPr>
          <w:rFonts w:ascii="Times New Roman" w:hAnsi="Times New Roman"/>
          <w:b/>
          <w:sz w:val="48"/>
        </w:rPr>
        <w:t xml:space="preserve">Hyperfine, Inc.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46020" cy="2819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6020" cy="2819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Up to $50,000,000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entered into an at market issuance sales agreement, dated November 9, 2023, and subsequently amended and restated such sales agreement on December 29, 2025, or the Sales Agreement, with B. Riley Securities, Inc., or B. Riley, and BTIG, LLC, or BTIG, each a Sales Agent and collectively the Sales Agents, relating to our Class A common stock, par value $0.0001 per share, or Class A common stock, offered by this prospectus supplement. In accordance with the terms of the Sales Agreement, we may offer and sell our Class A common stock having an aggregate offering price of up to $50,000,000 from time to time through or to the Sales Agents, acting as sales agents or principals. </w:t>
      </w:r>
    </w:p>
    <w:p>
      <w:pPr>
        <w:pStyle w:val="TextBody"/>
        <w:bidi w:val="0"/>
        <w:spacing w:before="240" w:after="0"/>
        <w:jc w:val="left"/>
        <w:rPr>
          <w:rFonts w:ascii="Times New Roman" w:hAnsi="Times New Roman"/>
          <w:sz w:val="20"/>
        </w:rPr>
      </w:pPr>
      <w:r>
        <w:rPr>
          <w:rFonts w:ascii="Times New Roman" w:hAnsi="Times New Roman"/>
          <w:sz w:val="20"/>
        </w:rPr>
        <w:t xml:space="preserve">Our Class A common stock is listed on The Nasdaq Global Market under the symbol “HYPR.” On December 26, 2025, the last reported sale price of our Class A common stock on The Nasdaq Global Market was $1.06 per share. </w:t>
      </w:r>
    </w:p>
    <w:p>
      <w:pPr>
        <w:pStyle w:val="TextBody"/>
        <w:bidi w:val="0"/>
        <w:spacing w:before="240" w:after="0"/>
        <w:jc w:val="left"/>
        <w:rPr>
          <w:rFonts w:ascii="Times New Roman" w:hAnsi="Times New Roman"/>
          <w:sz w:val="20"/>
        </w:rPr>
      </w:pPr>
      <w:r>
        <w:rPr>
          <w:rFonts w:ascii="Times New Roman" w:hAnsi="Times New Roman"/>
          <w:sz w:val="20"/>
        </w:rPr>
        <w:t xml:space="preserve">Sales of shares of our Class A common stock, if any, under this prospectus supplement may be made in sales deemed to be an “at the market offering” as defined in Rule 415(a)(4) promulgated under the Securities Act of 1933, as amended, or the Securities Act. The Sales Agents are not required to sell any specific number or dollar amount of securities, but will act as sales agents on a best efforts basis and use reasonable efforts consistent with their normal trading and sales practices, on mutually agreed terms between us and the Sales Agents. We may also sell shares of our Class A common stock to the Sales Agents as principals. There is no arrangement for funds to be received in any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The Sales Agents will be entitled to compensation at a commission rate of up to 3.0% of the gross offering proceeds received per share of Class A common stock sold under the Sales Agreement. See “Plan of Distribution” beginning on page S-16 for additional information regarding the compensation to be paid to the Sales Agents. In connection with the sale of Class A common stock on our behalf, the Sales Agents will each be deemed to be an “underwriter” within the meaning of the Securities Act, and the compensation of the Sales Agents will be deemed to be underwriting commissions or discounts. We have also agreed to provide indemnification and contribution to the Sales Agents with respect to certain liabilities, including liabilities under the Securities Act or the Securities Exchange Act of 1934, as amended, or the Exchange Act. </w:t>
      </w:r>
    </w:p>
    <w:p>
      <w:pPr>
        <w:pStyle w:val="TextBody"/>
        <w:bidi w:val="0"/>
        <w:spacing w:before="240" w:after="0"/>
        <w:jc w:val="left"/>
        <w:rPr/>
      </w:pPr>
      <w:r>
        <w:rPr>
          <w:rFonts w:ascii="Times New Roman" w:hAnsi="Times New Roman"/>
          <w:b/>
          <w:sz w:val="24"/>
        </w:rPr>
        <w:t>Investing in our Class  A common stock involves a high degree of risk. See the information contained under “</w:t>
      </w:r>
      <w:hyperlink w:anchor="supptoc901161_5">
        <w:r>
          <w:rPr>
            <w:rStyle w:val="InternetLink"/>
            <w:rFonts w:ascii="Times New Roman" w:hAnsi="Times New Roman"/>
            <w:b/>
            <w:sz w:val="24"/>
          </w:rPr>
          <w:t>Risk Factors</w:t>
        </w:r>
      </w:hyperlink>
      <w:r>
        <w:rPr>
          <w:rFonts w:ascii="Times New Roman" w:hAnsi="Times New Roman"/>
          <w:b/>
          <w:sz w:val="24"/>
        </w:rPr>
        <w:t xml:space="preserve">” beginning on page S-7 of this prospectus supplement and under similar headings in the documents incorporated by reference herein for a discussion of the factors you should carefully consider before deciding to purchase these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942"/>
        <w:gridCol w:w="869"/>
        <w:gridCol w:w="2945"/>
        <w:gridCol w:w="120"/>
        <w:gridCol w:w="3329"/>
      </w:tblGrid>
      <w:tr>
        <w:trPr/>
        <w:tc>
          <w:tcPr>
            <w:tcW w:w="2942" w:type="dxa"/>
            <w:tcBorders/>
            <w:vAlign w:val="center"/>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6756" w:type="dxa"/>
            <w:gridSpan w:val="3"/>
            <w:tcBorders/>
          </w:tcPr>
          <w:p>
            <w:pPr>
              <w:pStyle w:val="TableContents"/>
              <w:bidi w:val="0"/>
              <w:spacing w:before="0" w:after="283"/>
              <w:jc w:val="left"/>
              <w:rPr/>
            </w:pPr>
            <w:r>
              <w:rPr/>
              <w:t>   </w:t>
            </w:r>
            <w:r>
              <w:rPr>
                <w:b/>
              </w:rPr>
              <w:t>B. Riley Securities</w:t>
            </w:r>
          </w:p>
        </w:tc>
        <w:tc>
          <w:tcPr>
            <w:tcW w:w="12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right"/>
              <w:rPr>
                <w:b/>
              </w:rPr>
            </w:pPr>
            <w:r>
              <w:rPr>
                <w:b/>
              </w:rPr>
              <w:t>BTIG   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December 29,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96"/>
        <w:gridCol w:w="243"/>
        <w:gridCol w:w="78"/>
        <w:gridCol w:w="625"/>
        <w:gridCol w:w="63"/>
      </w:tblGrid>
      <w:tr>
        <w:trPr/>
        <w:tc>
          <w:tcPr>
            <w:tcW w:w="9196"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9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703"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ptoc901161_1">
              <w:r>
                <w:rPr>
                  <w:rStyle w:val="InternetLink"/>
                  <w:rFonts w:ascii="Times New Roman" w:hAnsi="Times New Roman"/>
                  <w:sz w:val="20"/>
                </w:rPr>
                <w:t>PROSPECTUS SUPPLEMENT</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196" w:type="dxa"/>
            <w:tcBorders/>
            <w:vAlign w:val="bottom"/>
          </w:tcPr>
          <w:p>
            <w:pPr>
              <w:pStyle w:val="TableContents"/>
              <w:bidi w:val="0"/>
              <w:spacing w:before="0" w:after="0"/>
              <w:jc w:val="left"/>
              <w:rPr/>
            </w:pPr>
            <w:hyperlink w:anchor="supptoc901161_2">
              <w:r>
                <w:rPr>
                  <w:rStyle w:val="InternetLink"/>
                  <w:rFonts w:ascii="Times New Roman" w:hAnsi="Times New Roman"/>
                  <w:sz w:val="20"/>
                </w:rPr>
                <w:t>ABOUT THIS PROSPECTUS SUPPLEMENT</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ptoc901161_3">
              <w:r>
                <w:rPr>
                  <w:rStyle w:val="InternetLink"/>
                  <w:rFonts w:ascii="Times New Roman" w:hAnsi="Times New Roman"/>
                  <w:sz w:val="20"/>
                </w:rPr>
                <w:t>PROSPECTUS SUPPLEMENT SUMMARY</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S-3</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ptoc901161_4">
              <w:r>
                <w:rPr>
                  <w:rStyle w:val="InternetLink"/>
                  <w:rFonts w:ascii="Times New Roman" w:hAnsi="Times New Roman"/>
                  <w:sz w:val="20"/>
                </w:rPr>
                <w:t>THE OFFERING</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S-5</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ptoc901161_5">
              <w:r>
                <w:rPr>
                  <w:rStyle w:val="InternetLink"/>
                  <w:rFonts w:ascii="Times New Roman" w:hAnsi="Times New Roman"/>
                  <w:sz w:val="20"/>
                </w:rPr>
                <w:t>RISK FACTORS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S-7</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ptoc901161_6">
              <w:r>
                <w:rPr>
                  <w:rStyle w:val="InternetLink"/>
                  <w:rFonts w:ascii="Times New Roman" w:hAnsi="Times New Roman"/>
                  <w:sz w:val="20"/>
                </w:rPr>
                <w:t>SPECIAL NOTE REGARDING FORWARD-LOOKING STATEMENTS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S-10</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ptoc901161_7">
              <w:r>
                <w:rPr>
                  <w:rStyle w:val="InternetLink"/>
                  <w:rFonts w:ascii="Times New Roman" w:hAnsi="Times New Roman"/>
                  <w:sz w:val="20"/>
                </w:rPr>
                <w:t>USE OF PROCEEDS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S-12</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ptoc901161_8">
              <w:r>
                <w:rPr>
                  <w:rStyle w:val="InternetLink"/>
                  <w:rFonts w:ascii="Times New Roman" w:hAnsi="Times New Roman"/>
                  <w:sz w:val="20"/>
                </w:rPr>
                <w:t>DIVIDEND POLICY</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S-13</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ptoc901161_9">
              <w:r>
                <w:rPr>
                  <w:rStyle w:val="InternetLink"/>
                  <w:rFonts w:ascii="Times New Roman" w:hAnsi="Times New Roman"/>
                  <w:sz w:val="20"/>
                </w:rPr>
                <w:t>DILUTION</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S-14</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ptoc901161_10">
              <w:r>
                <w:rPr>
                  <w:rStyle w:val="InternetLink"/>
                  <w:rFonts w:ascii="Times New Roman" w:hAnsi="Times New Roman"/>
                  <w:sz w:val="20"/>
                </w:rPr>
                <w:t>PLAN OF DISTRIBUTION</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S-16</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ptoc901161_11">
              <w:r>
                <w:rPr>
                  <w:rStyle w:val="InternetLink"/>
                  <w:rFonts w:ascii="Times New Roman" w:hAnsi="Times New Roman"/>
                  <w:sz w:val="20"/>
                </w:rPr>
                <w:t>LEGAL MATTERS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S-17</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ptoc901161_12">
              <w:r>
                <w:rPr>
                  <w:rStyle w:val="InternetLink"/>
                  <w:rFonts w:ascii="Times New Roman" w:hAnsi="Times New Roman"/>
                  <w:sz w:val="20"/>
                </w:rPr>
                <w:t>EXPERTS</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S-17</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ptoc901161_13">
              <w:r>
                <w:rPr>
                  <w:rStyle w:val="InternetLink"/>
                  <w:rFonts w:ascii="Times New Roman" w:hAnsi="Times New Roman"/>
                  <w:sz w:val="20"/>
                </w:rPr>
                <w:t>WHERE YOU CAN FIND MORE INFORMATION</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S-17</w:t>
            </w:r>
          </w:p>
        </w:tc>
        <w:tc>
          <w:tcPr>
            <w:tcW w:w="63" w:type="dxa"/>
            <w:tcBorders/>
            <w:vAlign w:val="bottom"/>
          </w:tcPr>
          <w:p>
            <w:pPr>
              <w:pStyle w:val="TableContents"/>
              <w:bidi w:val="0"/>
              <w:spacing w:before="0" w:after="283"/>
              <w:jc w:val="left"/>
              <w:rPr/>
            </w:pPr>
            <w:r>
              <w:rPr/>
              <w:t> </w:t>
            </w:r>
          </w:p>
        </w:tc>
      </w:tr>
      <w:tr>
        <w:trPr/>
        <w:tc>
          <w:tcPr>
            <w:tcW w:w="9196" w:type="dxa"/>
            <w:tcBorders/>
            <w:vAlign w:val="bottom"/>
          </w:tcPr>
          <w:p>
            <w:pPr>
              <w:pStyle w:val="TableContents"/>
              <w:bidi w:val="0"/>
              <w:spacing w:before="0" w:after="0"/>
              <w:jc w:val="left"/>
              <w:rPr/>
            </w:pPr>
            <w:hyperlink w:anchor="supptoc901161_14">
              <w:r>
                <w:rPr>
                  <w:rStyle w:val="InternetLink"/>
                  <w:rFonts w:ascii="Times New Roman" w:hAnsi="Times New Roman"/>
                  <w:sz w:val="20"/>
                </w:rPr>
                <w:t>INCORPORATION OF DOCUMENTS BY REFERENCE</w:t>
              </w:r>
            </w:hyperlink>
          </w:p>
        </w:tc>
        <w:tc>
          <w:tcPr>
            <w:tcW w:w="24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S-18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6">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7">
              <w:r>
                <w:rPr>
                  <w:rStyle w:val="InternetLink"/>
                  <w:rFonts w:ascii="Times New Roman" w:hAnsi="Times New Roman"/>
                  <w:sz w:val="20"/>
                </w:rPr>
                <w:t>DESCRIPTION OF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9">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10">
              <w:r>
                <w:rPr>
                  <w:rStyle w:val="InternetLink"/>
                  <w:rFonts w:ascii="Times New Roman" w:hAnsi="Times New Roman"/>
                  <w:sz w:val="20"/>
                </w:rPr>
                <w:t>DESCRIPTION OF RIGHTS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11">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12">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13">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15">
              <w:r>
                <w:rPr>
                  <w:rStyle w:val="InternetLink"/>
                  <w:rFonts w:ascii="Times New Roman" w:hAnsi="Times New Roman"/>
                  <w:sz w:val="20"/>
                </w:rPr>
                <w:t>INCORPORATION OF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901161_2"/>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shelf registration statement on Form S-3 that we filed with the Securities and Exchange Commission, or the SEC, under the Securities Act. Under the shelf registration process, we may offer our Class A common stock having an aggregate offering price of up to $50,000,000 from time to time under this prospectus supplement at prices and on terms to be determined by market conditions at the time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We provide information to you about this offering of our Class A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You should rely only on the information contained or incorporated by reference in this prospectus supplement. We have not, and the Sales Agents have not, authorized anyone to provide you with information that is in addition to or different from that contained or incorporated by reference in this prospectus supplement or contained in any permitted free writing prospectuses that we may authorize, if we are eligible, for use in connection with this offering. We and the Sales Agents take no responsibility for, and can provide no assurance as to the reliability of, any other information that others may provide.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prospectus supplement and the documents incorporated by reference herein is accurate only as of their respective dates, regardless of the time of delivery of any such document or the time of any sale of our Class A common stock. Our business, financial condition, results of operations and prospects may have changed since those dates. It is important for you to read and consider all information contained or incorporated by reference in this prospectus supplement in making your investment decision. You should read this prospectus supplement, as well as the documents incorporated by reference herein, the additional information described under the section titled “Where You Can Find More Information” and “Incorporation of Documents by Reference” in this prospectus supplement and any free writing prospectus that we may, if eligible, from time to time authorize for use in connection with this offering, before investing in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the registration statement of which this prospectus supplement is a part or to any document that is incorporated by reference in this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our Class A common stock only in jurisdictions where such offers and sales are permitted. The distribution of this prospectus supplement and the offering of our Class A common stock in certain jurisdictions may be restricted by law. Persons outside the United States who come into possession of this prospectus supplement must inform themselves about, and observe any restrictions relating to, the offering of our Class A common stock and the distribution of this prospectus supplement outside the United States. This prospectus supplement does not constitute, and may not be used in connection with, an offer to sell or the solicitation of an offer to buy any securities other than the Class A common stock to which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relates, nor does this prospectus supplement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information contained in or incorporated by reference into this prospectus supplement concerning our industry and the markets in which we operate, including market opportunity, market position and competitive landscape, is based on information from our management’s estimates, as well as from industry publications, surveys and studies conducted by third parties. Management estimates are derived from publicly available information, our knowledge of our industry, and assumptions based on such information and knowledge, which we believe to be reasonable. In addition, while we believe that information contained in the industry publications, surveys and studies has been obtained from reliable sources, the accuracy and completeness of such information is not guaranteed, and we have not independently verified any of the data contained in these third-party sources.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including the documents incorporated by reference herein, includes statements that are based on various assumptions and estimates that are subject to numerous known and unknown risks and uncertainties. Some of these risks and uncertainties are described in the section entitled “Risk Factors” beginning on page S-7 of this prospectus supplement and described in the section entitled “Risk Factors” in our most recent Annual Report on Form 10-K and Quarterly Reports on Form 10-Q, as well as the other documents we will from time to time file with the SEC. These and other important factors could cause our future results to be materially different from the results expected as a result of, or implied by, these assumptions and estimates. You should read the information contained in, or incorporated by reference into, this prospectus supplement completely and with the understanding that future results may be materially different from and worse than what we expect. See the information included under the heading “Special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“Hyperfine,” “HYPR,” the “Company,” “we,” “us,” “our” and similar terms refer to Hyperfine, Inc. and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All trademarks, trade names and service marks included in this prospectus supplement are the property of their respective owners. Use or display by us of other parties’ trademarks, trade dress or products is not intended to and does not imply a relationship with, or endorsements or sponsorship of, us by the trademark or trade dress owner.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oc901161_3"/>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is a summary of what we believe to be the most important aspects of our business and the offering of our Class A common stock under this prospectus supplement. We urge you to read this entire prospectus, including the more detailed consolidated financial statements, notes to the consolidated financial statements and other information incorporated by reference from our other filings with the SEC. Investing in our Class A common stock involves risks. Therefore, carefully consider the risk factors set forth in this prospectus supplement and in our most recent annual and quarterly filings with the SEC, as well as other information in this prospectus supplement and the documents incorporated by reference herein, before purchasing our Class A common stock. Each of the risk factors could adversely affect our business, operating results and financial condition, as well as adversely affect the value of an investment in our Class A common stock.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Hyperfine,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innovative health technology business with a mission to revolutionize patient care globally through accessible, affordable, clinically relevant artificial intelligence, or AI, powered portable ultra-low-field, or ULF, magnetic resonance, or MR, brain imaging. Our Swoop® Portable MR Imaging® System, or the Swoop® system, produces high-quality images at a lower magnetic field strength than conventional magnetic resonance imaging, or MRI, scanners. Our Swoop® system is designed to transform brain MR for the patient, the clinician and the provider, enabling a highly differentiated experience for patients, timely imaging for clinicians, and favorable economics for hospital administrators. The Swoop® system is a portable, ULF MRI device for producing images that display the internal structures of the head where full diagnostic examination is not clinically practical. When interpreted by a trained physician, these images provide information that can be useful in determining a diagnosis. Healthcare professionals can use the Swoop® system to make effective clinical diagnoses and decisions in various care settings where conventional MRI devices are inaccessible or when they are not readily available. The easy-to-use interface and portable design of our Swoop® system make it easily and readily accessible anywhere in a hospital, clinic, physician office, or patient care site and it does not require any special facilities accommodations nor specialized personnel to operate safely. ULF MR does not expose patients to harmful ionizing radiation and compares favorably in this regard to X-ray, computed tomography or positron emission tomography.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Outside of the United States, the Swoop® system has received marketing authorization for brain imaging in several countries, including the European Union, or the CE Mark, the United Kingdom (UK Conformity Assessment, or the UKCA Mark), Canada, India, Australia and New Zealand.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History and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HealthCor Catalio Acquisition Corp., or HealthCor, was incorporated as a Cayman Islands exempted company on November 18, 2020 for the purpose of effecting a merger, share exchange, asset acquisition, share purchase, reorganization or other similar business combination with one or more businesses.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Hyperfine, Inc., or Legacy Hyperfine, was incorporated under the laws of the State of Delaware on February 25, 2014 under the name “Hyperfine Research, Inc.” On May 25, 2021, the name of the corporation was changed to “Hyperfine,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Liminal Sciences, Inc., or Liminal, was incorporated under the laws of the State of Delaware on September 21, 2018 under the name “EpilepsyCo Inc.” On July 20, 2020, the name of the corporation was changed to “Liminal Sciences,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December 21, 2021, HealthCor changed its jurisdiction of incorporation from the Cayman Islands to the State of Delaware by deregistering as an exempted company in the Cayman Islands and continuing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domesticating as a corporation, incorporated under the laws of the State of Delaware. On December 22, 2021, HealthCor, Legacy Hyperfine and Liminal completed a business combination, pursuant to which each of Legacy Hyperfine and Liminal became a wholly owned subsidiary of HealthCor, HealthCor’s corporate name was changed to “Hyperfine, Inc.”, Legacy Hyperfine’s name was changed to “Hyperfine Operations, Inc.”, Liminal’s name was changed to “Liminal Operations, Inc.”, and the business of Legacy Hyperfine and Liminal became the business of the Company. On March 21, 2022, Liminal’s name was changed to “Liminal Sciences,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351 New Whitfield Street, Guilford, Connecticut 06437, and our telephone number is (866) 796-6767.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Annual Reports on Form 10-K, Quarterly Reports on Form 10-Q, Current Reports on Form 8-K and all amendments to those reports filed or furnished pursuant to Section 13(a) or 15(d) of the Exchange Act are available free of charge through the investor relations page of our website as soon as reasonably practicable after we electronically file such material with, or furnish it to,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oc901161_4"/>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common stock offered by us: </w:t>
            </w:r>
          </w:p>
        </w:tc>
        <w:tc>
          <w:tcPr>
            <w:tcW w:w="6327" w:type="dxa"/>
            <w:tcBorders/>
          </w:tcPr>
          <w:p>
            <w:pPr>
              <w:pStyle w:val="TableContents"/>
              <w:bidi w:val="0"/>
              <w:spacing w:before="0" w:after="283"/>
              <w:jc w:val="left"/>
              <w:rPr/>
            </w:pPr>
            <w:r>
              <w:rPr/>
              <w:t xml:space="preserve">Class A common stock having an aggregate offering price of up to $50,000,000.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Plan of Distribution: </w:t>
            </w:r>
          </w:p>
        </w:tc>
        <w:tc>
          <w:tcPr>
            <w:tcW w:w="6328" w:type="dxa"/>
            <w:tcBorders/>
          </w:tcPr>
          <w:p>
            <w:pPr>
              <w:pStyle w:val="TableContents"/>
              <w:bidi w:val="0"/>
              <w:spacing w:before="0" w:after="283"/>
              <w:jc w:val="left"/>
              <w:rPr/>
            </w:pPr>
            <w:r>
              <w:rPr/>
              <w:t>“</w:t>
            </w:r>
            <w:r>
              <w:rPr/>
              <w:t xml:space="preserve">At the market offering” that may be made from time to time on The Nasdaq Global Market or other existing trading market for our Class A common stock through or to B. Riley and BTIG, as sales agents or principals. See “Plan of Distribution” on page S-16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intend to use the net proceeds from this offering, if any, for our commercial activities, including commercialization, manufacturing development and regulatory clearance of our products, research and development, and for other general corporate purposes, including for working capital, intellectual property protection and enforcement, capital expenditures, investments, acquisitions and collaborations.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Voting Rights: </w:t>
            </w:r>
          </w:p>
        </w:tc>
        <w:tc>
          <w:tcPr>
            <w:tcW w:w="6330" w:type="dxa"/>
            <w:tcBorders/>
          </w:tcPr>
          <w:p>
            <w:pPr>
              <w:pStyle w:val="TableContents"/>
              <w:bidi w:val="0"/>
              <w:spacing w:before="0" w:after="283"/>
              <w:jc w:val="left"/>
              <w:rPr/>
            </w:pPr>
            <w:r>
              <w:rPr/>
              <w:t xml:space="preserve">We have two classes of shares outstanding: Class A common stock and Class B common stock, par value $0.0001 per share. The rights of the holders of Class A common stock and Class B common stock are generally identical, except with respect to voting and conversion. See “Conversion Rights” for more detail on conversion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Class A common stock has one vote per share, and the Class B common stock has 20 votes per share. See “Description of Shares—Class B Common Stock—Voting Rights” in the accompanying base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After giving effect to the assumed offering of the full $50,000,000 of shares of Class A common stock at an assumed offering price of $1.08, the last reported sale price of our Class A common stock on The Nasdaq Global Market on December 22, 2025, our Class A common stock will collectively represent approximately 88% of our total issued and outstanding shares of capital stock and approximately 27% of the combined voting power attached to all of our issued and outstanding shares of capital stock, and the Class B common stock will collectively represent approximately 73% of the combined voting power attached to all of our issued and outstanding shares of capital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Conversion Rights: </w:t>
            </w:r>
          </w:p>
        </w:tc>
        <w:tc>
          <w:tcPr>
            <w:tcW w:w="6327" w:type="dxa"/>
            <w:tcBorders/>
          </w:tcPr>
          <w:p>
            <w:pPr>
              <w:pStyle w:val="TableContents"/>
              <w:bidi w:val="0"/>
              <w:spacing w:before="0" w:after="283"/>
              <w:jc w:val="left"/>
              <w:rPr/>
            </w:pPr>
            <w:r>
              <w:rPr/>
              <w:t xml:space="preserve">The Class A common stock is not convertible into any other class of shares, while the Class B common stock is convertible into Class A common stock on a one-to-one basis at the option of the holder and automatically upon the occurrence of certain events. See “Description of Shares—Class B Common Stock—Optional Conversion” and “—Mandatory Conversion” in the accompanying base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3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Investing in our Class A common stock involves risks. See “Risk Factors” beginning on page S-7 of this prospectus supplement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under similar headings in the documents incorporated by reference herein for a discussion of the factors you should carefully consider before deciding to invest in shares of our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w:t>
            </w:r>
          </w:p>
        </w:tc>
        <w:tc>
          <w:tcPr>
            <w:tcW w:w="6329" w:type="dxa"/>
            <w:tcBorders/>
          </w:tcPr>
          <w:p>
            <w:pPr>
              <w:pStyle w:val="TableContents"/>
              <w:bidi w:val="0"/>
              <w:spacing w:before="0" w:after="283"/>
              <w:jc w:val="left"/>
              <w:rPr/>
            </w:pPr>
            <w:r>
              <w:rPr/>
              <w:t>“</w:t>
            </w:r>
            <w:r>
              <w:rPr/>
              <w:t xml:space="preserve">HYPR”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oc901161_5"/>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Class A common stock involves a high degree of risk. Before making an investment decision, you should carefully consider the risks described below and in our most recent Annual Report on Form 10-K and any subsequent Quarterly Reports on Form 10-Q or Current Reports on Form 8-K, as well as any amendments thereto reflected in subsequent filings with the SEC, each of which are incorporated by reference in this prospectus supplement, and all of the other information in this prospectus supplement, including our financial statements and related notes incorporated by reference herein. If any of these risks is realized, our business, financial condition, results of operations and prospects could be materially and adversely affected. In that event, the trading price of our Class A common stock could decline and you could lose part or all of your investment. Additional risks and uncertainties that are not yet identified or that we currently believe to be immaterial may also materially harm our business, financial condition, results of operations and prospects and could result in a complete loss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and Our 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Shares of our Class A common stock offered hereby will be sold in “at the market offerings,” and investors who buy shares of our Class A common stock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of our Class A common stock in this offering at different times will likely pay different prices, and so may experience different outcomes in their investment results. We will have discretion, subject to market demand, to vary the timing, prices, and numbers of shares of our Class A common stock sold, and there is no minimum or maximum sales price. Investors may experience a decline in the value of their shares of Class A common stock as a result of sales made at prices lower than the prices they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Class A common stock in this offering, you will suffer immediate dilution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assumed public offering price of our Class A common stock of $1.08 per share, the last reported sale price of our Class A common stock on The Nasdaq Global Market on December 22, 2025, is higher than the net tangible book value per share of our Class A common stock. Therefore, if you purchase our Class A common stock in this offering, you may pay a price per share that exceeds our net tangible book value per share after giving effect to this offering. If you purchase our Class A common stock in this offering at the assumed public offering price, you will incur an immediate dilution in net tangible book value of $0.49 per share. For a further description of the dilution that you will experience immediately after this offering, see the section titled “Dilution.” In addition, in the past, we have issued options to acquire Class A common stock at prices significantly below the offering price and we have issued warrants and restricted stock units. To the extent these outstanding options or warrants are exercised or these restricted stock units vest, you will incur additional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will have broad discretion over the use of the net proceeds from this offering, and you may not agree with how we use the proceeds and the proceeds may not be invested successfully.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as to the use of the net proceeds from this offering, if any, and could use them for purposes other than those contemplated at the time of this offering. Accordingly, you are relying on the judgment of our management with regard to the use of these net proceeds, and you will not have the opportunity, as part of your investment decision, to assess whether the proceeds will be used appropriately. It is possible that the proceeds will be invested in a way that does not yield a favorable, or any, return for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do not anticipate paying any cash dividends on our Class A common stock in the foreseeable future, capital appreciation, if any, will be your sole source of gain.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Class A common stock. We currently anticipate that we will retain our earnings, if any, for future growth and therefore do not anticipate paying cash dividends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As a result, only appreciation of the price of our Class A common stock will provide a return to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our Class A common stock is likely to be highly volatile, and our stockholders may lose some or all of their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our Class A common stock is likely to be highly volatile, including in response to factors that are beyond our control. The stock market in general experiences extreme price and volume fluctuations. In particular, the market prices of securities of healthcare technology companies are extremely volatile, and experience fluctuations that are often unrelated or disproportionate to the operating performance of these companies. These broad and sector-specific market fluctuations can result in extreme fluctuations in the price of our Class A common stock, regardless of our operating performance, and can cause our stockholders to lose some or all of their investment in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incur significant costs from class action litigation due to share volatility. </w:t>
      </w:r>
    </w:p>
    <w:p>
      <w:pPr>
        <w:pStyle w:val="TextBody"/>
        <w:bidi w:val="0"/>
        <w:spacing w:before="120" w:after="0"/>
        <w:jc w:val="left"/>
        <w:rPr>
          <w:rFonts w:ascii="Times New Roman" w:hAnsi="Times New Roman"/>
          <w:sz w:val="20"/>
        </w:rPr>
      </w:pPr>
      <w:r>
        <w:rPr>
          <w:rFonts w:ascii="Times New Roman" w:hAnsi="Times New Roman"/>
          <w:sz w:val="20"/>
        </w:rPr>
        <w:t xml:space="preserve">Our share price may fluctuate for many reasons, including as a result of public announcements regarding the progress of our development efforts or the development efforts of our collaborators and/or competitors, the addition or departure of our key personnel, variations in our quarterly operating results and changes in market valuations of healthcare technology companies. Holders of shares which have experienced significant price and trading volatility have occasionally brought securities class action litigation against the companies that issued the shares. If any of our stockholders were to bring a lawsuit of this type against us, even if the lawsuit is without merit, we could incur substantial costs defending the lawsuit. The lawsuit could also divert the time and attention of our management, which could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additional Class A common stock could cause the price of our Class A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Sales of substantial amounts of our Class A common stock in the public market, or the availability of such shares for sale, by us or others, including the issuance of Class A common stock upon exercise or vesting of outstanding options, warrants and restricted stock units or conversion of our Class B common stock into shares of our Class A common stock, or the perception that such sales could occur, could adversely affect the price of our Class A common stock and impair our ability to raise capital through the sale of additional equity securities. As of the date of this prospectus supplement, 15,055,288 shares of Class B common stock outstanding are convertible into an equal number of shares of Class A common stock at any time at the option of the holders thereof and automatically upon the occurrence of certain events. See “Description of Shares—Class B Common Stock—Optional Conversion” and “—Mandatory Conversion” in the accompanying base prospectus. We may sell large quantities of shares of our Class A common stock at any time pursuant to this prospectus supplement or in one or more separate offerings. We cannot predict the effect that future sales of shares of our Class A common stock would have on the market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we may in the future offer additional shares of our Class A common stock or other securities convertible into or exchangeable for our Class A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Class A common stock or other securities convertible into or exchangeable for our Class A common stock in future transactions may be higher or lower than the price per share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or industry analysts do not publish research or publish inaccurate or unfavorable research about our business, our share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Class A common stock may depend in part on the research and reports that securities or industry analysts publish about us or our business. If too few securities or industry analysts cover our company, the trading price for our Class A common stock would likely be negatively impacted. If one or more of the analysts who cover us downgrade our Class A common stock or publish research about our business that is unfavorable or based on stale projections or other information or otherwise inaccurate, our share price would likely decline. If one or more of these analysts cease coverage of our company or fail to publish reports on us regularly, demand for our Class A common stock could decrease, which might cause our share price and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actual number of Class A common stock we will issue under the Sales Agreement, at any one time or in total, is uncertain.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 placement notice to the Sales Agents at any time throughout the term of the Sales Agreement. The number of Class A common stock that are sold by the Sales Agents after delivering a placement notice will fluctuate based on the market price of our Class A common stock during the sales period and limits we set with the Sales Agents. Because the price per Class A common stock sold will fluctuate based on the market price of our Class A common stock during the sales period, it is not possible at this stage to predict the number of Class A common stock that will be ultimately issued, if any, and the gross proceeds (if any) that we would receive from such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901161_6"/>
      <w:bookmarkEnd w:id="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documents incorporated by reference in this prospectus supplement include forward-looking statements within the meaning of Section 27A of the Securities Act of 1933, as amended, or the Securities Act, and Section 21E of the Securities Exchange Act of 1934, or the Exchange Act, that relate to future events or to our future operations or financial performance.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Words such as, but not limited to, “believe,” “expect,” “anticipate,” “estimate,” “intend,” “may,” “plan,” “potential,” “predict,” “project,” “targets,” “likely,” “will,” “would,” “could,” “should,” “continue,” “scheduled,”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or incorporated by reference in this prospectus supplement, we caution you that these statements are based on our projections of the future that are subject to known and unknown risks and uncertainties and other important factors that may cause our actual results, level of activity, performance or achievements expressed or implied by any forward-looking statement to differ materially from those expressed or implied by any forward-looking statement. The sections in our periodic reports, including our Annual Report on Form 10-K for the fiscal year ended December 31, 2024, entitled “Business,” “Risk Factors,” and “Management’s Discussion and Analysis of Financial Condition and Results of Operations,” as well as other sections in this prospectus supplement and the documents or reports incorporated by reference in this prospectus supplement, discuss some of the factors that could contribute to these differences. These forward-looking statements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cost and timing of our product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commercialization and adoption of our existing products and the success of our future product offerings, including the degree to which our products and services are accepted and used by healthcare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attributes and benefits of our products and services, including the clinical evidence supporting those benefits, and our ability to generate clinical evidence of the benefits of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for our products, and any related restrictions and limitations of any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in-license or acquire additional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our existing licensing, manufacturing and supply agreements and to obtain adequate supply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with other companies currently marketing or engaged in the development of magnetic resonance imaging technologies, many of which have greater financial and marketing resources than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products and services, and the ability of our products and services to serve those markets, either alone or in partnership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expansion plans and our ability to grow and manage growth profitably;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of our products and services and reimbursement for medical procedures conducted using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applicable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history of losses and our ability to continue as a going concern;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financing in the future and the effects of future raises;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performance, including our financial performance and performance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in retaining or recruiting, or changes required in, our officers, key employees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intense competition and competitive pressures from other companies in the industry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and global and economic factors, such as inflation, geopolitical conflicts, and instability;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legal, tax and regulatory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anticipated National Institutes of Health funding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effect from U.S. export controls and tariffs;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use of proceeds from the offering of our Class A common stock under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or in the documents incorporated by reference in this prospectus supplement, particularly in the “Risk Factors” section, that we believe could cause actual results or events to differ materially from the forward-looking statements that we make. For a summary of such factors, please refer to the section entitled “Risk Factors” in this prospectus supplement, as updated and supplemented by the discussion of risks and uncertainties under “Risk Factors” contained in any supplements to this prospectus supplement and in our most recent Annual Report on Form 10-K, as revised or supplemented by our subsequent Quarterly Reports on Form 10-Q or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these assumptions, risks and uncertainties, the results and events discussed in the forward-looking statements contained in this prospectus supplement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901161_7"/>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our Class A common stock under this prospectus supplement having aggregate sales proceeds of up to $50,000,000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our Sales Agreement with B. Riley and BTIG as a source of financing.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if any, for our commercial activities, including commercialization, manufacturing development and regulatory clearance of our products, research and development, and for other general corporate purposes, including for working capital, intellectual property protection and enforcement, capital expenditures, investments, acquisitions and collaborations. </w:t>
      </w:r>
    </w:p>
    <w:p>
      <w:pPr>
        <w:pStyle w:val="TextBody"/>
        <w:bidi w:val="0"/>
        <w:spacing w:before="240" w:after="0"/>
        <w:jc w:val="left"/>
        <w:rPr>
          <w:rFonts w:ascii="Times New Roman" w:hAnsi="Times New Roman"/>
          <w:sz w:val="20"/>
        </w:rPr>
      </w:pPr>
      <w:r>
        <w:rPr>
          <w:rFonts w:ascii="Times New Roman" w:hAnsi="Times New Roman"/>
          <w:sz w:val="20"/>
        </w:rPr>
        <w:t xml:space="preserve">Our expected use of the net proceeds from this offering represents our current intentions based upon our present plans and business conditions. The amounts and timing of our actual use of net proceeds will vary depending on numerous factors, including the success, cost and timing of the development and commercialization of our products and services, and any unforeseen delays or cash needs and other factors described under “Risk Factors” in this prospectus supplement and the documents incorporated by reference. As a result, our management will have broad discretion in the application of the net proceeds, and investors will be relying on our judgment regarding the application of the net proceeds of this offering. In addition, we might decide to postpone or not pursue our planned or other future activities if the net proceeds from this offering and the other sources of cash are less than, or do not last as long as, expected. </w:t>
      </w:r>
    </w:p>
    <w:p>
      <w:pPr>
        <w:pStyle w:val="TextBody"/>
        <w:bidi w:val="0"/>
        <w:spacing w:before="240" w:after="0"/>
        <w:jc w:val="left"/>
        <w:rPr>
          <w:rFonts w:ascii="Times New Roman" w:hAnsi="Times New Roman"/>
          <w:sz w:val="20"/>
        </w:rPr>
      </w:pPr>
      <w:r>
        <w:rPr>
          <w:rFonts w:ascii="Times New Roman" w:hAnsi="Times New Roman"/>
          <w:sz w:val="20"/>
        </w:rPr>
        <w:t xml:space="preserve">Pending their use, we plan to invest the net proceeds from this offering, if any, in short- and intermediate-term, interest- 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901161_8"/>
      <w:bookmarkEnd w:id="9"/>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Class A common stock. We currently anticipate that we will retain any future earnings for the operation and expansion of our business. Accordingly, we do not currently anticipate declaring or paying any cash dividends on our Class A common stock for the foreseeable future. Any future determination relating to our dividend policy will be made at the discretion of our board of directors and will depend on then existing conditions, including our financial condition, results of operations, contractual restrictions (including in the agreements governing our credit facilities), capital requirements, business prospects and other factors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901161_9"/>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Class A common stock in this offering, your ownership interest will be diluted to the extent of the difference between the assumed public offering price per share in this offering and the as adjusted net tangible book value per share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our historical net tangible book value was approximately $26,872,000, or $0.33 per share of common stock. Historical net tangible book value per share is equal to the amount of our total tangible assets less our total liabilities, divided by 80,485,211, the combined number of Class A common stock and Class B common stock outstanding as of September 30, 2025.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assumed sale of our Class A common stock in the aggregate amount of $50,000,000 at an assumed offering price of $1.08 per share, the last reported sale price of our Class A common stock on The Nasdaq Global Market on December 22, 2025, and after deducting commissions and estimated offering expenses payable by us, our as adjusted net tangible book value as of September 30, 2025 would have been approximately $75,277,000, or $0.59 per share of common stock. This amount represents an immediate increase in our net tangible book value of $0.26 per share to our existing stockholders and immediate dilution in net tangible book value of approximately $0.49 per share to new investors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calculation on a per share basis. The as adjusted information is illustrative only and will adjust based on the actual price to the public, the actual number of shares sold and other terms of the offering determined at the time shares of our Class A common stock are sold pursuant to this prospectus supplement. The shares sold in this offering, if any, will be sold from time to time at various prices.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21"/>
        <w:gridCol w:w="368"/>
        <w:gridCol w:w="143"/>
        <w:gridCol w:w="444"/>
        <w:gridCol w:w="60"/>
        <w:gridCol w:w="368"/>
        <w:gridCol w:w="143"/>
        <w:gridCol w:w="444"/>
        <w:gridCol w:w="64"/>
      </w:tblGrid>
      <w:tr>
        <w:trPr/>
        <w:tc>
          <w:tcPr>
            <w:tcW w:w="5721"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7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public offering price per share</w:t>
            </w:r>
          </w:p>
        </w:tc>
        <w:tc>
          <w:tcPr>
            <w:tcW w:w="36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1.08</w:t>
            </w:r>
          </w:p>
        </w:tc>
        <w:tc>
          <w:tcPr>
            <w:tcW w:w="64" w:type="dxa"/>
            <w:tcBorders/>
            <w:shd w:fill="CCEEFF" w:val="clear"/>
            <w:vAlign w:val="bottom"/>
          </w:tcPr>
          <w:p>
            <w:pPr>
              <w:pStyle w:val="TableContents"/>
              <w:bidi w:val="0"/>
              <w:spacing w:before="0" w:after="283"/>
              <w:jc w:val="left"/>
              <w:rPr/>
            </w:pPr>
            <w:r>
              <w:rPr/>
              <w:t> </w:t>
            </w:r>
          </w:p>
        </w:tc>
      </w:tr>
      <w:tr>
        <w:trPr/>
        <w:tc>
          <w:tcPr>
            <w:tcW w:w="5721"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September 30, 2025</w:t>
            </w:r>
          </w:p>
        </w:tc>
        <w:tc>
          <w:tcPr>
            <w:tcW w:w="36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0.33</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7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the offering</w:t>
            </w:r>
          </w:p>
        </w:tc>
        <w:tc>
          <w:tcPr>
            <w:tcW w:w="36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0.26</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721"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721"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this offering</w:t>
            </w:r>
          </w:p>
        </w:tc>
        <w:tc>
          <w:tcPr>
            <w:tcW w:w="36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0.59</w:t>
            </w:r>
          </w:p>
        </w:tc>
        <w:tc>
          <w:tcPr>
            <w:tcW w:w="64" w:type="dxa"/>
            <w:tcBorders/>
            <w:vAlign w:val="bottom"/>
          </w:tcPr>
          <w:p>
            <w:pPr>
              <w:pStyle w:val="TableContents"/>
              <w:bidi w:val="0"/>
              <w:spacing w:before="0" w:after="283"/>
              <w:jc w:val="left"/>
              <w:rPr/>
            </w:pPr>
            <w:r>
              <w:rPr/>
              <w:t> </w:t>
            </w:r>
          </w:p>
        </w:tc>
      </w:tr>
      <w:tr>
        <w:trPr/>
        <w:tc>
          <w:tcPr>
            <w:tcW w:w="5721"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in net tangible book value per share to investors participating in this offering</w:t>
            </w:r>
          </w:p>
        </w:tc>
        <w:tc>
          <w:tcPr>
            <w:tcW w:w="36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0.49</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assumes for illustrative purposes that an aggregate of $50,000,000 of shares of our Class A common stock are sold during the term of the Sales Agreement with Sales Agents at a price of $1.08 per share, the last reported sale price of our Class A common stock on The Nasdaq Global Market on December 22, 2025. The shares subject to the Sales Agreement with the Sales Agents may be sold from time to time at various prices. An increase of $0.20 per share in the price at which the shares are sold from the assumed offering price of $1.08 per share shown in the table above, assuming all of our Class A common stock in the aggregate amount of $50,000,000 during the term of the Sales Agreement with the Sales Agents is sold at that price, would increase our adjusted net tangible book value per share after the offering to $0.63 per share and would increase the dilution in net tangible book value per share to new investors in this offering to $0.65 per share, after deducting commissions and estimated aggregate offering expenses payable by us. A decrease of $0.20 per share in the price at which the shares are sold from the assumed offering price of $1.08 per share shown in the table above, assuming all of our Class A common stock in the aggregate amount of $50,000,000 during the term of the Sales Agreement with the Sales Agents is sold at that price, would decrease our adjusted net tangible book value per share after the offering to $0.55 per share and would decrease the dilution in net tangible book value per share to new investors in this offering to $0.33 per share, after deducting commissions and estimated aggregate offering expenses payable by us. This information is supplied for illustrative purposes only. The information discussed above is illustrative only and will adjust based on the actual public offering price and other terms of this offering determined at pricing.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number of shares of common stock to be outstanding after this offering is based on an aggregate of 65,429,923 shares of our Class A common stock and 15,055,288 shares of our Class B common stock outstanding as of September 30, 2025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2,535,027 shares of Class A common stock issuable upon the vesting of restricted stock units outstanding as of September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15,847,874 shares of Class A common stock issuable upon the exercise of options outstanding as of September 30, 2025, at a weighted average exercise price of $1.35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6,827,225 shares Class A common stock reserved for future issuance under the Hyperfine, Inc. 2021 Equity Incentive Plan, or the 2021 Plan, as of September 30,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4,511,178 shares of Class A common stock issuable upon the exercise of warrants outstanding as of September 30, 2025, at an exercise price of $1.33 per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313,588 shares of Class A common stock issued and sold after September 30, 2025 pursuant to our original sales agreement, dated November 9, 2023, with B. Riley;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16,100,000 shares of Class A common stock issued and sold after September 30, 2025 pursuant to our underwriting agreement, dated October 15, 2025, with Lake Street Capital Markets, LLC.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shares are issued upon the exercise of outstanding options or warrants, the vesting of outstanding restricted stock units, or otherwise pursuant to any grants made in the future under our 2021 Plan,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may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901161_10"/>
      <w:bookmarkEnd w:id="1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the Sales Agreement with the Sales Agents under which we may offer and sell up to $50,000,000 of shares of our Class A common stock under this prospectus supplement from time to time through or to the Sales Agents, as sales agents or principals. The Sales Agreement will be filed with the SEC as an exhibit to a Current Report on Form 8-K, and is incorporated by reference in this prospectus supplement. Sales of shares of our Class A common stock, if any, under this prospectus supplement may be made by any method deemed to be an “at the market offering” as defined in Rule 415 under the Securities Act. We may instruct the Sales Agents not to sell Class A common stock if the sales cannot be effected at or above the price designated by us from time to time. We or the Sales Agents may suspend the offering of Class A common stock upon notice and subject to other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Sales Agents will offer our Class A common stock subject to the terms and conditions of the Sales Agreement as agreed upon by us and the Sales Agents. Each time we wish to issue and sell Class A common stock under the Sales Agreement, we will notify the Sales Agents of the number or dollar value of shares to be issued, the time period during which such sales are requested to be made, any limitation on the number of shares that may be sold in one day, any minimum price below which sales may not be made and other sales parameters as we deem appropriate. Once we have so instructed the Sales Agents, unless the Sales Agents decline to accept the terms of the notice, the Sales Agents have agreed to use their commercially reasonable efforts consistent with their normal trading and sales practices to sell such shares up to the amount specified on such terms. The obligations of the Sales Agents under the Sales Agreement to sell our Class A common stock are subject to a number of conditions that we must meet. </w:t>
      </w:r>
    </w:p>
    <w:p>
      <w:pPr>
        <w:pStyle w:val="TextBody"/>
        <w:bidi w:val="0"/>
        <w:spacing w:before="240" w:after="0"/>
        <w:jc w:val="left"/>
        <w:rPr>
          <w:rFonts w:ascii="Times New Roman" w:hAnsi="Times New Roman"/>
          <w:sz w:val="20"/>
        </w:rPr>
      </w:pPr>
      <w:r>
        <w:rPr>
          <w:rFonts w:ascii="Times New Roman" w:hAnsi="Times New Roman"/>
          <w:sz w:val="20"/>
        </w:rPr>
        <w:t xml:space="preserve">We will pay the Sales Agents commissions for their services in the sale of our Class A common stock at a commission rate equal to up to 3.0% of the gross sale price per share sold. We estimate that the total expenses for the offering, excluding compensation and reimbursable expenses payable to the Sales Agents under the Sales Agreement, will be approximately $95,000. We have also agreed to reimburse the Sales Agents for their reasonable out-of-pocket expenses, including attorney’s fees, in an amount of up to an aggregate of $75,000 incurred in connection with entering into the transactions contemplated by the Sales Agreement and up to $5,000 per calendar quarter, for ongoing diligence arising from the transactions contemplated by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Class A common stock will occur on the first business day following the date on which any sales are made, or on some other date that is agreed upon by us and the Sales Agents in connection with a particular transaction, in return for payment of the net proceeds to us.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Class A common stock on our behalf, the Sales Agents will deemed to be underwriters within the meaning of the Securities Act, and their compensation will be deemed to be underwriting commissions or discounts. We have agreed to provide indemnification and contribution to the Sales Agents against certain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offering pursuant to the Sales Agreement will terminate upon the earlier of (1) the issuance and sale of all shares of our Class A common stock subject to the Sales Agreement; and (2) the termination of the Sales Agreement as permitted therein.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in electronic format may be made available on a website maintained by the Sales Agents. The Sales Agents and their affiliates may in the future provide various investment banking and other financial services for us and our affiliates, for which services they may in the future receive customary fees. To the extent required by Regulation M, the Sales Agents will not engage in any market making activities involving our Class A common stock while the offering is ongoing under this prospectus supplement. This summary of the material provisions of the Sales Agreement does not purport to be a complete statement of its terms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oc901161_11"/>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Mintz, Levin, Cohn, Ferris, Glovsky and Popeo, P.C., Boston, Massachusetts, will pass upon the validity of the securities offered in this prospectus supplement with respect to the Class A common stock on behalf of Hyperfine, Inc. B. Riley Securities, Inc. and BTIG, LLC are being represented in this offering by Duane Morris LLP, New York, New York. </w:t>
      </w:r>
    </w:p>
    <w:p>
      <w:pPr>
        <w:pStyle w:val="TextBody"/>
        <w:bidi w:val="0"/>
        <w:spacing w:before="480" w:after="0"/>
        <w:jc w:val="center"/>
        <w:rPr>
          <w:rFonts w:ascii="Times New Roman" w:hAnsi="Times New Roman"/>
          <w:b/>
          <w:sz w:val="20"/>
        </w:rPr>
      </w:pPr>
      <w:bookmarkStart w:id="13" w:name="supptoc901161_12"/>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for the years ended December 31, 2024 and 2023, incorporated by reference in this prospectus supplement and elsewhere in the registration statement have been so incorporated by reference in reliance upon the report of Grant Thornton LLP, independent registered public accountants, upon the authority of said firm as experts in accounting and auditing. </w:t>
      </w:r>
    </w:p>
    <w:p>
      <w:pPr>
        <w:pStyle w:val="TextBody"/>
        <w:bidi w:val="0"/>
        <w:spacing w:before="480" w:after="0"/>
        <w:jc w:val="center"/>
        <w:rPr>
          <w:rFonts w:ascii="Times New Roman" w:hAnsi="Times New Roman"/>
          <w:b/>
          <w:sz w:val="20"/>
        </w:rPr>
      </w:pPr>
      <w:bookmarkStart w:id="14" w:name="supptoc901161_13"/>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reporting requirements of the Exchange Act and file annual, quarterly and current reports, proxy statements and other information with the SEC. SEC filings are available at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supplement, and you should refer to the applicable exhibit or schedule for a complete description of any statement referring to any contract or other document. You may obtain a copy of the registration statement, including the exhibits and schedules, from the SEC’s website.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http://www.hyperfine.io, through which you can access our SEC filings free of charge. The information set forth on our website is not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toc901161_14"/>
      <w:bookmarkEnd w:id="15"/>
      <w:r>
        <w:rPr>
          <w:rFonts w:ascii="Times New Roman" w:hAnsi="Times New Roman"/>
          <w:b/>
          <w:sz w:val="20"/>
        </w:rPr>
        <w:t xml:space="preserve">INCORPORATION OF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supplement, and information that we file later with the SEC will automatically update and supersede this information. We filed a registration statement on Form S-3 under the Securities Act with the SEC with respect to the securities we may offer pursuant to this prospectus supplement. This prospectus supplement omits certain information contained in the registration statement, as permitted by the SEC. You should refer to the registration statement, including the exhibits, for further information about us and the securities we may offer pursuant to this prospectus supplement. Statements in this prospectus supplement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2024 that we filed with the SEC on March 17,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portions of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that we filed with the SEC on April 7, 2025 that are deemed “filed” with the SEC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5">
              <w:r>
                <w:rPr>
                  <w:rStyle w:val="InternetLink"/>
                  <w:rFonts w:ascii="Times New Roman" w:hAnsi="Times New Roman"/>
                  <w:sz w:val="20"/>
                </w:rPr>
                <w:t>Form 10-Q</w:t>
              </w:r>
            </w:hyperlink>
            <w:r>
              <w:rPr>
                <w:rFonts w:ascii="Times New Roman" w:hAnsi="Times New Roman"/>
                <w:sz w:val="20"/>
              </w:rPr>
              <w:t xml:space="preserve"> for the fiscal quarter ended March 31, 2025 that we filed with the SEC on May  13, 2025, our Quarterly Report on </w:t>
            </w:r>
            <w:hyperlink r:id="rId6">
              <w:r>
                <w:rPr>
                  <w:rStyle w:val="InternetLink"/>
                  <w:rFonts w:ascii="Times New Roman" w:hAnsi="Times New Roman"/>
                  <w:sz w:val="20"/>
                </w:rPr>
                <w:t>Form 10-Q</w:t>
              </w:r>
            </w:hyperlink>
            <w:r>
              <w:rPr>
                <w:rFonts w:ascii="Times New Roman" w:hAnsi="Times New Roman"/>
                <w:sz w:val="20"/>
              </w:rPr>
              <w:t xml:space="preserve"> for the fiscal quarter ended June 30, 2025 that we filed with the SEC on August 13, 2025, and our Quarterly Report on </w:t>
            </w:r>
            <w:hyperlink r:id="rId7">
              <w:r>
                <w:rPr>
                  <w:rStyle w:val="InternetLink"/>
                  <w:rFonts w:ascii="Times New Roman" w:hAnsi="Times New Roman"/>
                  <w:sz w:val="20"/>
                </w:rPr>
                <w:t>Form 10-Q</w:t>
              </w:r>
            </w:hyperlink>
            <w:r>
              <w:rPr>
                <w:rFonts w:ascii="Times New Roman" w:hAnsi="Times New Roman"/>
                <w:sz w:val="20"/>
              </w:rPr>
              <w:t xml:space="preserve"> for the fiscal quarter ended September 30, 2025 that we filed with the SEC on November 13,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that we filed with the SEC on </w:t>
            </w:r>
            <w:hyperlink r:id="rId8">
              <w:r>
                <w:rPr>
                  <w:rStyle w:val="InternetLink"/>
                  <w:rFonts w:ascii="Times New Roman" w:hAnsi="Times New Roman"/>
                  <w:sz w:val="20"/>
                </w:rPr>
                <w:t>January 29, 2025</w:t>
              </w:r>
            </w:hyperlink>
            <w:r>
              <w:rPr>
                <w:rFonts w:ascii="Times New Roman" w:hAnsi="Times New Roman"/>
                <w:sz w:val="20"/>
              </w:rPr>
              <w:t xml:space="preserve">, </w:t>
            </w:r>
            <w:hyperlink r:id="rId9">
              <w:r>
                <w:rPr>
                  <w:rStyle w:val="InternetLink"/>
                  <w:rFonts w:ascii="Times New Roman" w:hAnsi="Times New Roman"/>
                  <w:sz w:val="20"/>
                </w:rPr>
                <w:t>February  11, 2025</w:t>
              </w:r>
            </w:hyperlink>
            <w:r>
              <w:rPr>
                <w:rFonts w:ascii="Times New Roman" w:hAnsi="Times New Roman"/>
                <w:sz w:val="20"/>
              </w:rPr>
              <w:t xml:space="preserve">, </w:t>
            </w:r>
            <w:hyperlink r:id="rId10">
              <w:r>
                <w:rPr>
                  <w:rStyle w:val="InternetLink"/>
                  <w:rFonts w:ascii="Times New Roman" w:hAnsi="Times New Roman"/>
                  <w:sz w:val="20"/>
                </w:rPr>
                <w:t>February  11, 2025</w:t>
              </w:r>
            </w:hyperlink>
            <w:r>
              <w:rPr>
                <w:rFonts w:ascii="Times New Roman" w:hAnsi="Times New Roman"/>
                <w:sz w:val="20"/>
              </w:rPr>
              <w:t xml:space="preserve">, </w:t>
            </w:r>
            <w:hyperlink r:id="rId11">
              <w:r>
                <w:rPr>
                  <w:rStyle w:val="InternetLink"/>
                  <w:rFonts w:ascii="Times New Roman" w:hAnsi="Times New Roman"/>
                  <w:sz w:val="20"/>
                </w:rPr>
                <w:t>May  2, 2025</w:t>
              </w:r>
            </w:hyperlink>
            <w:r>
              <w:rPr>
                <w:rFonts w:ascii="Times New Roman" w:hAnsi="Times New Roman"/>
                <w:sz w:val="20"/>
              </w:rPr>
              <w:t xml:space="preserve">, </w:t>
            </w:r>
            <w:hyperlink r:id="rId12">
              <w:r>
                <w:rPr>
                  <w:rStyle w:val="InternetLink"/>
                  <w:rFonts w:ascii="Times New Roman" w:hAnsi="Times New Roman"/>
                  <w:sz w:val="20"/>
                </w:rPr>
                <w:t>May  19, 2025</w:t>
              </w:r>
            </w:hyperlink>
            <w:r>
              <w:rPr>
                <w:rFonts w:ascii="Times New Roman" w:hAnsi="Times New Roman"/>
                <w:sz w:val="20"/>
              </w:rPr>
              <w:t xml:space="preserve">, </w:t>
            </w:r>
            <w:hyperlink r:id="rId13">
              <w:r>
                <w:rPr>
                  <w:rStyle w:val="InternetLink"/>
                  <w:rFonts w:ascii="Times New Roman" w:hAnsi="Times New Roman"/>
                  <w:sz w:val="20"/>
                </w:rPr>
                <w:t>May  23, 2025</w:t>
              </w:r>
            </w:hyperlink>
            <w:r>
              <w:rPr>
                <w:rFonts w:ascii="Times New Roman" w:hAnsi="Times New Roman"/>
                <w:sz w:val="20"/>
              </w:rPr>
              <w:t xml:space="preserve">, </w:t>
            </w:r>
            <w:hyperlink r:id="rId14">
              <w:r>
                <w:rPr>
                  <w:rStyle w:val="InternetLink"/>
                  <w:rFonts w:ascii="Times New Roman" w:hAnsi="Times New Roman"/>
                  <w:sz w:val="20"/>
                </w:rPr>
                <w:t>August  6, 2025</w:t>
              </w:r>
            </w:hyperlink>
            <w:r>
              <w:rPr>
                <w:rFonts w:ascii="Times New Roman" w:hAnsi="Times New Roman"/>
                <w:sz w:val="20"/>
              </w:rPr>
              <w:t xml:space="preserve">, </w:t>
            </w:r>
            <w:hyperlink r:id="rId15">
              <w:r>
                <w:rPr>
                  <w:rStyle w:val="InternetLink"/>
                  <w:rFonts w:ascii="Times New Roman" w:hAnsi="Times New Roman"/>
                  <w:sz w:val="20"/>
                </w:rPr>
                <w:t>October  15, 2025</w:t>
              </w:r>
            </w:hyperlink>
            <w:r>
              <w:rPr>
                <w:rFonts w:ascii="Times New Roman" w:hAnsi="Times New Roman"/>
                <w:sz w:val="20"/>
              </w:rPr>
              <w:t xml:space="preserve">, and </w:t>
            </w:r>
            <w:hyperlink r:id="rId16">
              <w:r>
                <w:rPr>
                  <w:rStyle w:val="InternetLink"/>
                  <w:rFonts w:ascii="Times New Roman" w:hAnsi="Times New Roman"/>
                  <w:sz w:val="20"/>
                </w:rPr>
                <w:t>October 16, 2025</w:t>
              </w:r>
            </w:hyperlink>
            <w:r>
              <w:rPr>
                <w:rFonts w:ascii="Times New Roman" w:hAnsi="Times New Roman"/>
                <w:sz w:val="20"/>
              </w:rPr>
              <w:t xml:space="preserve"> (except for the information furnished under Items 2.02 or 7.01 and the exhibits furnished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securities contained in our Registration Statement on </w:t>
            </w:r>
            <w:hyperlink r:id="rId17">
              <w:r>
                <w:rPr>
                  <w:rStyle w:val="InternetLink"/>
                  <w:rFonts w:ascii="Times New Roman" w:hAnsi="Times New Roman"/>
                  <w:sz w:val="20"/>
                </w:rPr>
                <w:t>Form 8-A</w:t>
              </w:r>
            </w:hyperlink>
            <w:r>
              <w:rPr>
                <w:rFonts w:ascii="Times New Roman" w:hAnsi="Times New Roman"/>
                <w:sz w:val="20"/>
              </w:rPr>
              <w:t xml:space="preserve"> that we filed with the SEC on January 26, 2021, as supplemented by the description of our securities contained in Exhibit  4.2 in our Annual Report on </w:t>
            </w:r>
            <w:hyperlink r:id="rId18">
              <w:r>
                <w:rPr>
                  <w:rStyle w:val="InternetLink"/>
                  <w:rFonts w:ascii="Times New Roman" w:hAnsi="Times New Roman"/>
                  <w:sz w:val="20"/>
                </w:rPr>
                <w:t>Form 10-K</w:t>
              </w:r>
            </w:hyperlink>
            <w:r>
              <w:rPr>
                <w:rFonts w:ascii="Times New Roman" w:hAnsi="Times New Roman"/>
                <w:sz w:val="20"/>
              </w:rPr>
              <w:t xml:space="preserve"> for the year ended December 31, 2024, as filed with the SEC on March 17, 2025, including any amendment or report filed for the purpose of updating such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reports and other documents subsequently filed by us pursuant to Sections 13(a), 13(c), 14 and 15(d) of the Exchange Act after the date of this prospectus supplement and prior to the termination or completion of the offering of securities under this prospectus supplement shall be deemed to be incorporated by reference in this prospectus supplement and to be a part hereof from the date of filing such reports and other documents.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 file number for each of the documents listed above is 001-39949.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supplement or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orally or in writing, a copy of any or all of the documents incorporated herein by reference. These documents will be provided to you at no cost, by contacting: </w:t>
      </w:r>
    </w:p>
    <w:p>
      <w:pPr>
        <w:pStyle w:val="TextBody"/>
        <w:bidi w:val="0"/>
        <w:spacing w:before="240" w:after="0"/>
        <w:jc w:val="center"/>
        <w:rPr>
          <w:rFonts w:ascii="Times New Roman" w:hAnsi="Times New Roman"/>
          <w:sz w:val="20"/>
        </w:rPr>
      </w:pPr>
      <w:r>
        <w:rPr>
          <w:rFonts w:ascii="Times New Roman" w:hAnsi="Times New Roman"/>
          <w:sz w:val="20"/>
        </w:rPr>
        <w:t xml:space="preserve">Hyperfine, Inc. </w:t>
      </w:r>
    </w:p>
    <w:p>
      <w:pPr>
        <w:pStyle w:val="TextBody"/>
        <w:bidi w:val="0"/>
        <w:spacing w:before="0" w:after="0"/>
        <w:jc w:val="center"/>
        <w:rPr>
          <w:rFonts w:ascii="Times New Roman" w:hAnsi="Times New Roman"/>
          <w:sz w:val="20"/>
        </w:rPr>
      </w:pPr>
      <w:r>
        <w:rPr>
          <w:rFonts w:ascii="Times New Roman" w:hAnsi="Times New Roman"/>
          <w:sz w:val="20"/>
        </w:rPr>
        <w:t xml:space="preserve">351 New Whitfield Street </w:t>
      </w:r>
    </w:p>
    <w:p>
      <w:pPr>
        <w:pStyle w:val="TextBody"/>
        <w:bidi w:val="0"/>
        <w:spacing w:before="0" w:after="0"/>
        <w:jc w:val="center"/>
        <w:rPr>
          <w:rFonts w:ascii="Times New Roman" w:hAnsi="Times New Roman"/>
          <w:sz w:val="20"/>
        </w:rPr>
      </w:pPr>
      <w:r>
        <w:rPr>
          <w:rFonts w:ascii="Times New Roman" w:hAnsi="Times New Roman"/>
          <w:sz w:val="20"/>
        </w:rPr>
        <w:t xml:space="preserve">Guilford, Connecticut 06437 </w:t>
      </w:r>
    </w:p>
    <w:p>
      <w:pPr>
        <w:pStyle w:val="TextBody"/>
        <w:bidi w:val="0"/>
        <w:spacing w:before="0" w:after="0"/>
        <w:jc w:val="center"/>
        <w:rPr>
          <w:rFonts w:ascii="Times New Roman" w:hAnsi="Times New Roman"/>
          <w:sz w:val="20"/>
        </w:rPr>
      </w:pPr>
      <w:r>
        <w:rPr>
          <w:rFonts w:ascii="Times New Roman" w:hAnsi="Times New Roman"/>
          <w:sz w:val="20"/>
        </w:rPr>
        <w:t xml:space="preserve">Telephone: (866) 796-6767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documents on our website, http://www.hyperfine.io. The information contained on, or that can be accessed through, our website is not a part of this prospectus supplement. We have included our website address in this prospectus supplement solely as an inactive textual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supplement and the accompanying base prospectus. We have not authorized anyone to provide you with information different from that contained in this prospectus supplement or incorporated by reference in this prospectus supplement.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4"/>
        </w:rPr>
      </w:pPr>
      <w:r>
        <w:rPr>
          <w:rFonts w:ascii="Times New Roman" w:hAnsi="Times New Roman"/>
          <w:b/>
          <w:sz w:val="44"/>
        </w:rPr>
        <w:t xml:space="preserve">Hyperfine, Inc. </w:t>
      </w:r>
    </w:p>
    <w:p>
      <w:pPr>
        <w:pStyle w:val="TextBody"/>
        <w:bidi w:val="0"/>
        <w:spacing w:before="0" w:after="0"/>
        <w:jc w:val="left"/>
        <w:rPr/>
      </w:pPr>
      <w:r>
        <w:rPr/>
        <w:t> </w:t>
      </w:r>
    </w:p>
    <w:p>
      <w:pPr>
        <w:pStyle w:val="TextBody"/>
        <w:bidi w:val="0"/>
        <w:spacing w:before="0" w:after="0"/>
        <w:jc w:val="center"/>
        <w:rPr/>
      </w:pPr>
      <w:r>
        <w:rPr/>
        <w:drawing>
          <wp:inline distT="0" distB="0" distL="0" distR="0">
            <wp:extent cx="2482850" cy="3263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2482850" cy="3263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$150,000,000 </w:t>
      </w:r>
    </w:p>
    <w:p>
      <w:pPr>
        <w:pStyle w:val="TextBody"/>
        <w:bidi w:val="0"/>
        <w:spacing w:before="0" w:after="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RIGHTS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9"/>
        </w:rPr>
      </w:pPr>
      <w:r>
        <w:rPr>
          <w:rFonts w:ascii="Times New Roman" w:hAnsi="Times New Roman"/>
          <w:sz w:val="19"/>
        </w:rPr>
        <w:t xml:space="preserve">This prospectus will allow us to issue, from time to time at prices and on terms to be determined at or prior to the time of one or more offerings, up to $150,000,000 of any combination of the securities described in this prospectus, either individually or in units. We may also offer Class A common stock or preferred stock upon conversion of or exchange for the debt securities; Class A common stock upon conversion of or exchange for the preferred stock; Class A common stock or preferred stock or debt securities upon the exercise of warrants or rights; or any combination of these securities. </w:t>
      </w:r>
    </w:p>
    <w:p>
      <w:pPr>
        <w:pStyle w:val="TextBody"/>
        <w:bidi w:val="0"/>
        <w:spacing w:before="240" w:after="0"/>
        <w:jc w:val="left"/>
        <w:rPr>
          <w:rFonts w:ascii="Times New Roman" w:hAnsi="Times New Roman"/>
          <w:sz w:val="19"/>
        </w:rPr>
      </w:pPr>
      <w:r>
        <w:rPr>
          <w:rFonts w:ascii="Times New Roman" w:hAnsi="Times New Roman"/>
          <w:sz w:val="19"/>
        </w:rPr>
        <w:t xml:space="preserve">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 </w:t>
      </w:r>
    </w:p>
    <w:p>
      <w:pPr>
        <w:pStyle w:val="TextBody"/>
        <w:bidi w:val="0"/>
        <w:spacing w:before="240" w:after="0"/>
        <w:jc w:val="left"/>
        <w:rPr>
          <w:rFonts w:ascii="Times New Roman" w:hAnsi="Times New Roman"/>
          <w:sz w:val="19"/>
        </w:rPr>
      </w:pPr>
      <w:r>
        <w:rPr>
          <w:rFonts w:ascii="Times New Roman" w:hAnsi="Times New Roman"/>
          <w:sz w:val="19"/>
        </w:rPr>
        <w:t xml:space="preserve">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dealers or agents are involved in the sale of our securities with respect to which this prospectus is being delivered, the names of such underwriters, dealers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 </w:t>
      </w:r>
    </w:p>
    <w:p>
      <w:pPr>
        <w:pStyle w:val="TextBody"/>
        <w:bidi w:val="0"/>
        <w:spacing w:before="240" w:after="0"/>
        <w:jc w:val="left"/>
        <w:rPr>
          <w:rFonts w:ascii="Times New Roman" w:hAnsi="Times New Roman"/>
          <w:sz w:val="19"/>
        </w:rPr>
      </w:pPr>
      <w:r>
        <w:rPr>
          <w:rFonts w:ascii="Times New Roman" w:hAnsi="Times New Roman"/>
          <w:sz w:val="19"/>
        </w:rPr>
        <w:t xml:space="preserve">Our Class A common stock is listed on The Nasdaq Global Market under the symbol “HYPR.” On November 8, 2023, the last reported sale price of our Class A common stock was $1.26 per share. The applicable prospectus supplement will contain information, where applicable, as to any other listing, if any, on The Nasdaq Global Market or any securities market or other securities exchange of the securities covered by the prospectus supplement. Prospective purchasers of our securities are urged to obtain current information as to the market prices of our securities, where applicable. </w:t>
      </w:r>
    </w:p>
    <w:p>
      <w:pPr>
        <w:pStyle w:val="TextBody"/>
        <w:bidi w:val="0"/>
        <w:spacing w:before="240" w:after="0"/>
        <w:jc w:val="left"/>
        <w:rPr/>
      </w:pPr>
      <w:r>
        <w:rPr>
          <w:rFonts w:ascii="Times New Roman" w:hAnsi="Times New Roman"/>
          <w:b/>
          <w:sz w:val="22"/>
        </w:rPr>
        <w:t>Investing in our securities involves a high degree of risk. Before deciding whether to invest in our securities, you should consider carefully the risks that we have described on page 5 of this prospectus under the caption “</w:t>
      </w:r>
      <w:hyperlink w:anchor="toc901161_3">
        <w:r>
          <w:rPr>
            <w:rStyle w:val="InternetLink"/>
            <w:rFonts w:ascii="Times New Roman" w:hAnsi="Times New Roman"/>
            <w:b/>
            <w:sz w:val="22"/>
          </w:rPr>
          <w:t>Risk Factors.</w:t>
        </w:r>
      </w:hyperlink>
      <w:r>
        <w:rPr>
          <w:rFonts w:ascii="Times New Roman" w:hAnsi="Times New Roman"/>
          <w:b/>
          <w:sz w:val="22"/>
        </w:rPr>
        <w:t xml:space="preserve">” We may also include specific risk factors in supplements to this prospectus under the caption “Risk Factors.” This prospectus may not be used to sell our securities unless accompanied by a prospectus supplement. </w:t>
      </w:r>
    </w:p>
    <w:p>
      <w:pPr>
        <w:pStyle w:val="TextBody"/>
        <w:bidi w:val="0"/>
        <w:spacing w:before="240" w:after="0"/>
        <w:jc w:val="left"/>
        <w:rPr>
          <w:rFonts w:ascii="Times New Roman" w:hAnsi="Times New Roman"/>
          <w:b/>
          <w:sz w:val="19"/>
        </w:rPr>
      </w:pPr>
      <w:r>
        <w:rPr>
          <w:rFonts w:ascii="Times New Roman" w:hAnsi="Times New Roman"/>
          <w:b/>
          <w:sz w:val="19"/>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19"/>
        </w:rPr>
      </w:pPr>
      <w:r>
        <w:rPr>
          <w:rFonts w:ascii="Times New Roman" w:hAnsi="Times New Roman"/>
          <w:b/>
          <w:sz w:val="19"/>
        </w:rPr>
        <w:t xml:space="preserve">The date of this prospectus is November 22,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6">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7">
              <w:r>
                <w:rPr>
                  <w:rStyle w:val="InternetLink"/>
                  <w:rFonts w:ascii="Times New Roman" w:hAnsi="Times New Roman"/>
                  <w:sz w:val="20"/>
                </w:rPr>
                <w:t>DESCRIPTION OF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9">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10">
              <w:r>
                <w:rPr>
                  <w:rStyle w:val="InternetLink"/>
                  <w:rFonts w:ascii="Times New Roman" w:hAnsi="Times New Roman"/>
                  <w:sz w:val="20"/>
                </w:rPr>
                <w:t>DESCRIPTION OF RIGHTS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11">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12">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13">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901161_15">
              <w:r>
                <w:rPr>
                  <w:rStyle w:val="InternetLink"/>
                  <w:rFonts w:ascii="Times New Roman" w:hAnsi="Times New Roman"/>
                  <w:sz w:val="20"/>
                </w:rPr>
                <w:t>INCORPORATION OF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901161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or SEC, utilizing a “shelf” registration process. Under this shelf registration process, we may offer shares of our Class A common stock or preferred stock, various series of debt securities and/or warrants or rights to purchase any of such securities, either individually or in units, in one or more offerings, with a total value of up to $150,000,000. This prospectus provides you with a general description of the securities we may offer. Each time we offer a type or series of securities under this prospectus, we will provide a prospectus supplement that will contain specific information about the terms of that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“Where You Can Find More Information” and “Incorporation of Documents by Reference”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the registration statement of which this prospectus is a part or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“Hyperfine,” “HYPR,” the “Company,” “we,” “us,” “our” and similar terms refer to Hyperfine, Inc. and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7" w:name="toc901161_2"/>
      <w:bookmarkEnd w:id="17"/>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You should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innovative health technology business with a mission to revolutionize patient care globally through transformational, accessible, clinically relevant ultra-low-field, or ULF, magnetic resonance, or MR, diagnostic brain imaging and data solutions. Our Swoop® Portable MR Imaging® System, or Swoop® system, produces high-quality images at a lower magnetic field strength than conventional magnetic resonance imaging, or MRI, scanners. The Swoop® system is a portable, ULF magnetic resonance imaging device for producing images that display the internal structures of the head where full diagnostic examination is not clinically practical. When interpreted by a trained physician, these images provide information that can be useful in determining a diagnosis. Healthcare professionals can use the Swoop® system to make effective clinical diagnoses and decisions in various care settings where MRI devices have previously been inaccessible. The easy-to-use interface and portable design of our Swoop® system make it accessible anywhere in a hospital, clinic, or patient care site and it does not require any special facilities accommodations to operate safely for patients or the clinical team. Unlike X-ray computed tomography or positron emission tomography, ULF MR does not expose patients to harmful ionizing radiation. We received 510(k) clearance for brain imaging from the U.S. Food and Drug Administration in 2020. The Swoop® system has marketing authorization for brain imaging in several countries, including the European Union (CE marking), the United Kingdom (UK Conformity Assessment), Canada, Australia and New Zealand. In December 2022, we suspended our Liminal program to develop a device to non-invasively measure key vital signs in the brain.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Additional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related to our business and operations, please refer to the reports incorporated herein by reference, including our Annual Report on Form 10-K for the year ended December 31, 2022, as described under the caption “Incorporation of Documents by Reference” on page 32 of this prospectus.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Our 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HealthCor Catalio Acquisition Corp., or HealthCor, was incorporated as a Cayman Islands exempted company on November 18, 2020 for the purpose of effecting a merger, share exchange, asset acquisition, share purchase, reorganization or other similar business combination with one or more businesses.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Hyperfine, Inc., or Legacy Hyperfine, was incorporated under the laws of the State of Delaware on February 25, 2014 under the name “Hyperfine Research, Inc.” On May 25, 2021, the name of the corporation was changed to “Hyperfine,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Liminal Sciences, Inc., or Liminal, was incorporated under the laws of the State of Delaware on September 21, 2018 under the name “EpilepsyCo Inc.” On July 20, 2020, the name of the corporation was changed to “Liminal Sciences,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On December 21, 2021, HealthCor changed its jurisdiction of incorporation from the Cayman Islands to the State of Delaware by deregistering as an exempted company in the Cayman Islands and continuing and domesticating as a corporation, incorporated under the laws of the State of Delaware. On December 22, 2021, HealthCor, Legacy Hyperfine and Liminal completed a business combination, pursuant to which each of Legacy Hyperfine and Liminal became a wholly owned subsidiary of HealthCor, HealthCor’s corporate name was changed to “Hyperfine, Inc.”, Legacy Hyperfine’s name was changed to “Hyperfine Operations, Inc.”, Liminal’s name was changed to “Liminal Operations, Inc.”, and the business of Legacy Hyperfine and Liminal became the business of the Company. On March 21, 2022, Liminal’s name was changed to “Liminal Sciences,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351 New Whitfield Street, Guilford, Connecticut 06437, and our telephone number is (866) 796-6767. We maintain a website at http://www.hyperfine.io, to which we regularly post copies of our press releases as well as additional information about us. The information contained on, or that can be accessed through, our website is not a part of this prospectus. We have included our website address in this prospectus solely as an inactive textual reference.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Offerings under this Prospectus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this prospectus, we may offer shares of our Class A common stock or preferred stock, various series of debt securities, or warrants or rights to purchase any of such securities, either individually or in units, with a total value of up to $150,000,000,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or dividends,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or sinking fund terms,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exercise prices, if any.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those agents or underwriters;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fees, discounts and commissions to be paid to them;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over-allotment options,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to us.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prospectus may not be used to consummate a sale of any securities unless it is accompanied by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901161_3"/>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significant risk. The prospectus supplement applicable to each offering of our securities will contain a discussion of the risks applicable to an investment in Hyperfine.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901161_4"/>
      <w:bookmarkEnd w:id="19"/>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in this prospectus include forward-looking statements within the meaning of Section 27A of the Securities Act of 1933, as amended, or the Securities Act, and Section 21E of the Securities Exchange Act of 1934, or the Exchange Act, that relate to future events or to our future operations or financial performance.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Words such as, but not limited to, “believe,” “expect,” “anticipate,” “estimate,” “intend,” “may,” “plan,” “potential,” “predict,” “project,” “targets,” “likely,” “will,” “would,” “could,” “should,” “continue,” “scheduled,”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or incorporated by reference in this prospectus, we caution you that these statements are based on our projections of the future that are subject to known and unknown risks and uncertainties and other important factors that may cause our actual results, level of activity, performance or achievements expressed or implied by any forward-looking statement to differ materially from those expressed or implied by any forward-looking statement. The sections in our periodic reports, including our Annual Report on Form 10-K for the fiscal year ended December 31, 2022, entitled “Business,” “Risk Factors,” and “Management’s Discussion and Analysis of Financial Condition 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cost and timing of our product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commercialization and adoption of our existing products and the success of our future product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attributes and benefits of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for our products, and any related restrictions and limitations of any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in-license or acquire additional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our existing licensing, manufacturing and supply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with other companies currently marketing or engaged in the development of magnetic resonance imaging technologies, many of which have greater financial and marketing resources than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products and services, and the ability of our products and services to serve those markets, either alone or in partnership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of our products and services and reimbursement for medical procedures conducted using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applicable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financing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in retaining or recruiting, or changes required in, our officers, key employees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intense competition and competitive pressures from other companies in the industry in which we operate;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and global and economic factors, such as inflation or the conflicts in Ukraine and Israel;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intellectual property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legal, tax and regulatory changes.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or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901161_5"/>
      <w:bookmarkEnd w:id="2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we intend to use any net proceeds from the sale of securities under this prospectus for our commercial activities, including commercialization, manufacturing development and regulatory clearance of our products, research and development, and for other general corporate purposes, including for working capital, intellectual property protection and enforcement, capital expenditures, investments, acquisitions and collaborations.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and interest-bearing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901161_6"/>
      <w:bookmarkEnd w:id="2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prices related to the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utilize a dealer in the sale of the securities being offered by this prospectus, we will sell the securities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 </w:t>
      </w:r>
    </w:p>
    <w:p>
      <w:pPr>
        <w:pStyle w:val="TextBody"/>
        <w:bidi w:val="0"/>
        <w:spacing w:before="240" w:after="0"/>
        <w:jc w:val="left"/>
        <w:rPr>
          <w:rFonts w:ascii="Times New Roman" w:hAnsi="Times New Roman"/>
          <w:sz w:val="20"/>
        </w:rPr>
      </w:pPr>
      <w:r>
        <w:rPr>
          <w:rFonts w:ascii="Times New Roman" w:hAnsi="Times New Roman"/>
          <w:sz w:val="20"/>
        </w:rPr>
        <w:t xml:space="preserve">Shares of our Class A common stock sold pursuant to the registration statement of which this prospectus is a part will be authorized for listing and trading on The Nasdaq Global Market. The applicable prospectus supplement will contain information, where applicable, as to any other listing, if any, on The Nasdaq Global Market or any securities market or other securities exchange of the securities covered by the prospectus supplement. Underwriters may make a market in our Class A common stock, but will not be obligated to do so and may discontinue any market making at any time without notice. We can make no assurance as to the liquidity of or the existence, development or maintenance of trading markets for any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and agents may engage in other transactions with us, or perform other services for us, in the ordinary course of their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901161_7"/>
      <w:bookmarkEnd w:id="22"/>
      <w:r>
        <w:rPr>
          <w:rFonts w:ascii="Times New Roman" w:hAnsi="Times New Roman"/>
          <w:b/>
          <w:sz w:val="20"/>
        </w:rPr>
        <w:t xml:space="preserve">DESCRIPTION OF SHARES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brief description of the material provisions of our shares. Our shares of Class A common stock are the only class of our securities registered pursuant to Section 12 of the Exchange Act. The following description of our shares does not purport to be complete and is subject to and qualified in its entirety by our Certificate of Incorporation, as amended, or our Charter, our Amended and Restated Bylaws, or our Bylaws, each of which are incorporated by reference as an exhibit to the registration statement of which this prospectus is a part, and certain provisions of Delaware law. We encourage you to read our Charter and the applicable provisions of Delaware law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and Outstanding Shares </w:t>
      </w:r>
    </w:p>
    <w:p>
      <w:pPr>
        <w:pStyle w:val="TextBody"/>
        <w:bidi w:val="0"/>
        <w:spacing w:before="120" w:after="0"/>
        <w:jc w:val="left"/>
        <w:rPr>
          <w:rFonts w:ascii="Times New Roman" w:hAnsi="Times New Roman"/>
          <w:sz w:val="20"/>
        </w:rPr>
      </w:pPr>
      <w:r>
        <w:rPr>
          <w:rFonts w:ascii="Times New Roman" w:hAnsi="Times New Roman"/>
          <w:sz w:val="20"/>
        </w:rPr>
        <w:t xml:space="preserve">Our Charter authorizes the issuance of up to 628,000,000 shares,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600,000,000 shares of Class A common stock, par value $0.0001 per share, or the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27,000,000 shares of Class B common stock, par value $0.0001 per share, or the Class B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 shares of preferred stock, par value $0.0001 per share, or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September 30, 2023, we had (i) 56,537,946 shares of Class A common stock outstanding and approximately 123 stockholders of record, and (ii) 15,055,288 shares of Class B common stock outstanding, all of which are held by a member of our Board of Directors, or the Board, Jonathan M. Rothberg, Ph.D., and his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Class A common stock are entitled to cast one vote per share. Generally, holders of all classes of common stock vote together as a single class, and an action is approved by stockholders if a majority of votes cast affirmatively or negatively on the action are cast in favor of the action. In any election by stockholders of directors other than in a contested election, directors are elected by the affirmative vote of a majority of the votes cast in favor or against the election of a nominee, while in a contested election, directors are elected by a plurality of the votes cast. Holders of Class A common stock are not entitled to cumulate their votes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With limited exceptions in the case of certain stock dividends or disparate dividends approved by the affirmative vote of the holders of a majority of the Class A common stock and Class B common stock, each voting separately as a class, holders of Class A common stock will share ratably (based on the number of shares of Class A common stock held), together with each holder of Class B common stock, if and when any dividend is declared by the Board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A common stock with respect to the payment of dividends.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Dissolution and Winding Up </w:t>
      </w:r>
    </w:p>
    <w:p>
      <w:pPr>
        <w:pStyle w:val="TextBody"/>
        <w:bidi w:val="0"/>
        <w:spacing w:before="120" w:after="0"/>
        <w:jc w:val="left"/>
        <w:rPr>
          <w:rFonts w:ascii="Times New Roman" w:hAnsi="Times New Roman"/>
          <w:sz w:val="20"/>
        </w:rPr>
      </w:pPr>
      <w:r>
        <w:rPr>
          <w:rFonts w:ascii="Times New Roman" w:hAnsi="Times New Roman"/>
          <w:sz w:val="20"/>
        </w:rPr>
        <w:t>On the liquidation, dissolution, distribution of assets or winding up of Hyperfine, each holder of Class A common stock, together with each holder of Class B common stock, will be entitled, </w:t>
      </w:r>
      <w:r>
        <w:rPr>
          <w:rFonts w:ascii="Times New Roman" w:hAnsi="Times New Roman"/>
          <w:i/>
          <w:sz w:val="20"/>
        </w:rPr>
        <w:t>pro rata</w:t>
      </w:r>
      <w:r>
        <w:rPr>
          <w:rFonts w:ascii="Times New Roman" w:hAnsi="Times New Roman"/>
          <w:sz w:val="20"/>
        </w:rPr>
        <w:t xml:space="preserve"> on a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basis, to all assets of Hyperfine of whatever kind available for distribution to the holders of common stock, subject to the designations, preferences, limitations, restrictions and relative rights of any other class or series of preferred stock of Hyperfine then outstanding and unless disparate or different treatment of the shares of Class A common stock and Class B common stock is approved by the affirmative vote of the holders of a majority of the outstanding shares of Class A common stock and Class B common stock, each voting separately as a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Class A common stock do not have subscription, redemption or conversion rights. All of the outstanding shares of Class A common stock are validly issued,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Class B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Class B common stock are entitled to cast 20 votes per share of Class B common stock. Generally, holders of all classes of our common stock vote together as a single class, and an action is approved by our stockholders if a majority of votes cast affirmatively or negatively on the action are cast in favor of the action. In any election by stockholders of directors other than in a contested election, directors are elected by the affirmative vote of a majority of the votes cast in favor or against the election of a nominee, while in a contested election, directors are elected by a plurality of the votes cast. Holders of Class B common stock will not be entitled to cumulate their votes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With limited exceptions in the case of certain stock dividends or disparate dividends approved by the affirmative vote of the holders of a majority of the Class A common stock and Class B common stock, each voting separately as a class, holders of Class B common stock will share ratably (based on the number of shares of Class B common stock held), together with each holder of Class A common stock, if and when any dividend is declared by the Board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B common stock with respect to the payment of dividends.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Optional Conversion </w:t>
      </w:r>
    </w:p>
    <w:p>
      <w:pPr>
        <w:pStyle w:val="TextBody"/>
        <w:bidi w:val="0"/>
        <w:spacing w:before="120" w:after="0"/>
        <w:jc w:val="left"/>
        <w:rPr>
          <w:rFonts w:ascii="Times New Roman" w:hAnsi="Times New Roman"/>
          <w:sz w:val="20"/>
        </w:rPr>
      </w:pPr>
      <w:r>
        <w:rPr>
          <w:rFonts w:ascii="Times New Roman" w:hAnsi="Times New Roman"/>
          <w:sz w:val="20"/>
        </w:rPr>
        <w:t xml:space="preserve">Holders of Class B common stock have the right to convert shares of their Class B common stock into fully paid and non-assessable shares of Class A common stock, on a one-to-one basis, at the option of the holder at any time upon written notice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Mandatory Conversion </w:t>
      </w:r>
    </w:p>
    <w:p>
      <w:pPr>
        <w:pStyle w:val="TextBody"/>
        <w:bidi w:val="0"/>
        <w:spacing w:before="120" w:after="0"/>
        <w:jc w:val="left"/>
        <w:rPr>
          <w:rFonts w:ascii="Times New Roman" w:hAnsi="Times New Roman"/>
          <w:sz w:val="20"/>
        </w:rPr>
      </w:pPr>
      <w:r>
        <w:rPr>
          <w:rFonts w:ascii="Times New Roman" w:hAnsi="Times New Roman"/>
          <w:sz w:val="20"/>
        </w:rPr>
        <w:t xml:space="preserve">Holders of Class B common stock can have their shares of Class B common stock automatically converted into shares of Class A common stock, on a one-to-one basis, upon the occurrence of any of the events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assignment, transfer, conveyance, hypothecation, or other transfer or disposition, directly or indirectly, of any shares of Class B common stock or any legal or beneficial interest in such shares, whether or not for value and whether voluntary or involuntary or by operation of law (including by merger, consolidation, or otherwise), including, without limitation the transfer of shares of Class B common stock to a broker or other nominee or the transfer of, or entering into a binding agreement with respect to, voting control over such shares by proxy or otherwise, other than a permitted transfer.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first date on which Dr. Rothberg, together with all other qualified stockholders, collectively cease to beneficially own at least 20% of the number of Class B common stock (as such number of shares is equitably adjusted in respect of any reclassification, stock dividend, subdivision, combination, or recapitalization of the Class B common stock) collectively beneficially owned by Dr. Rothberg and permitted transferees of Class B common stock as of the closing of the business combination on December 22,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date specified by the affirmative vote of the holders of at least two-thirds (2/3) of the outstanding shares of Class B common stock, voting as a separate class.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Dissolution and Winding Up </w:t>
      </w:r>
    </w:p>
    <w:p>
      <w:pPr>
        <w:pStyle w:val="TextBody"/>
        <w:bidi w:val="0"/>
        <w:spacing w:before="120" w:after="0"/>
        <w:jc w:val="left"/>
        <w:rPr>
          <w:rFonts w:ascii="Times New Roman" w:hAnsi="Times New Roman"/>
          <w:sz w:val="20"/>
        </w:rPr>
      </w:pPr>
      <w:r>
        <w:rPr>
          <w:rFonts w:ascii="Times New Roman" w:hAnsi="Times New Roman"/>
          <w:sz w:val="20"/>
        </w:rPr>
        <w:t>On the liquidation, dissolution, distribution of assets or winding up of Hyperfine, each holder of Class B common stock, together with each holder of Class A common stock, will be entitled, </w:t>
      </w:r>
      <w:r>
        <w:rPr>
          <w:rFonts w:ascii="Times New Roman" w:hAnsi="Times New Roman"/>
          <w:i/>
          <w:sz w:val="20"/>
        </w:rPr>
        <w:t>pro rata</w:t>
      </w:r>
      <w:r>
        <w:rPr>
          <w:rFonts w:ascii="Times New Roman" w:hAnsi="Times New Roman"/>
          <w:sz w:val="20"/>
        </w:rPr>
        <w:t xml:space="preserve"> on a per share basis, to all assets of Hyperfine of whatever kind available for distribution to the holders of common stock, subject to the designations, preferences, limitations, restrictions and relative rights of any other class or series of preferred stock of Hyperfine then outstanding and unless disparate or different treatment of the shares of Class A common stock and Class B common stock is approved by the affirmative vote of the holders of a majority of the outstanding shares of Class A common stock and Class B common stock, each voting separately as a class.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the Board has the authority, without action by the stockholders, to designate and issue shares of preferred stock in one or more classes or series, and the number of shares constituting any such class or series, and to fix the voting powers, designations, preferences, limitations, restrictions and relative rights of each class or series of preferred stock, including, without limitation, dividend rights, conversion rights, voting rights, redemption privileges and liquidation preferences. There are no shares of preferred stock currently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authorizing the Board to issue preferred stock and determine the rights and preferences of any classes or series of preferred stock is to eliminate delays associated with a stockholder vote on specific issuances. The simplified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common stock by restricting dividends on our common stock, diluting the voting power of our common stock or subordinating the dividend or liquidation rights of our common stock. As a result of these or other factors, the issuance of preferred stock could have an adverse impact on the market price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to the fullest extent permitted by law, unless we otherwise consent in writing, the Court of Chancery, or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(1) any derivative action or proceeding brought on behalf of Hyperfine, (2) any action asserting a claim of breach of a fiduciary duty owed by, or any other wrongdoing by, any current or former director, officer, other employee or stockholder of Hyperfine, (3) any action asserting a claim against us arising pursuant to any provision of the Delaware General Corporation Law, or the DGCL, our Charter or Bylaws, or as to which the DGCL confers jurisdiction on the Court of Chancery, (4) any action to interpret, apply, enforce or determine the validity of any provisions of our Charter or Bylaws, or (5) any other action asserting a claim governed by the internal affairs doctrine. Notwithstanding the foregoing, the federal district courts of the United States shall be the exclusive forum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resolution of any action, suit or proceeding asserting a cause of action arising under the Securities Act and the provisions of our Charter described above will not apply to claims arising under the Exchange Act or other federal securities laws for which there is exclusive federal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our Charter, Bylaws and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our Charter, Bylaws, and laws of the State of Delaware, where we are incorporated, may discourage or make more difficult a takeover attempt that a stockholder might consider in his or her best interest. These provisions may also adversely affect prevailing market prices for the Class A common stock and the Class B common stock. We believe that the benefits of increased protection give us the potential ability to negotiate with the proponent of an unsolicited proposal to acquire or restructure us and outweigh the disadvantage of discouraging those proposals because negotiation of the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Delaware law does not require stockholder approval for any issuance of authorized shares. However, the listing requirements of Nasdaq, which apply so long as the Class A common stock remains listed on Nasdaq, require stockholder approval of certain issuances equal to or exceeding 20% of the then outstanding voting power or then outstanding number of shares of common stock. Additional shares that may be issued in the future may be issued for a variety of corporate purposes, including future public offerings, to raise additional capital, or to facilitate acquisitions. The existence of authorized but unissued and unreserved common stock and preferred stock could make more difficult or discourage an attempt to obtain control of Hyperfine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Dual Class Stock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for a dual class common stock structure which provides Dr. Rothberg with the ability to control the outcome of matters requiring stockholder approval, even though he owns significantly less than a majority of the shares of our outstanding common stock, including the election of directors and significant corporate transactions, such as a merger or other sale of Hyperfine or its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Blank Check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Our Charter provides for 1,000,000 authorized shares of preferred stock. The existence of authorized but unissued shares of preferred stock may enable the Board to render more difficult or to discourage an attempt to obtain control of us by means of a merger, tender offer, proxy contest or otherwise. For example, if in the due exercise of its fiduciary obligations, the Board were to determine that a takeover proposal is not in the best interests of Hyperfine or its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our Charter grants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 holders of shares of common stock and may have the effect of delaying, deterring or preventing a change in control of Hyperfine.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Number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provide that, subject to any rights of holders of preferred stock to elect additional directors under specified circumstances, the number of directors may be fixed from time to time solely pursuant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a resolution adopted by the Board; provided, however, that prior to the first date on which the issued and outstanding shares of Class B common stock represent less than 50% of the voting power of the then outstanding shares of our capital stock that would be entitled to vote for the election of directors at an annual meeting of stockholders, unless approved by the holders of a majority in voting power of the shares of our capital stock that would then be entitled to vote in the election of directors at an annual meeting or by written consent, the number of directors may not exceed nine.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Meetings,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respect to stockholder proposals and nomination of candidates for election as directors, other than nominations made by or at the direction of the Board or a committee of the Board. In order to be “properly brought” before a meeting, a stockholder will have to comply with advance notice requirements and provide us with certain information. Generally, to be timely, a stockholder’s notice must be delivered to, or mailed and received at our principal executive offices not less than 90 days nor more than 120 days prior to the first anniversary of the immediately preceding annual meeting of stockholders. Our Bylaws also specify requirements as to the form and content of a stockholder’s notice. Our Bylaws allow the chairperson of the meeting at a meeting of the stockholders to determine whether a proposal to the meeting was properly brought and to adopt rules and regulations for the conduct of meetings, except to the extent inconsistent with such rules, regulations and procedures as adopted by the Board,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Hyperfine.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that, subject to the terms of any series of our preferred stock, any action required or permitted to be taken by our stockholders must be effected at an annual or special meeting of the stockholders and may not be effected by written consent in lieu of a meeting; provided, however, that prior to the first date on which the issued and outstanding shares of Class B common stock represent less than 50% of the voting power of the then outstanding shares of our capital stock that would then be entitled to vote for the election of directors, any action required or permitted to be taken at any annual or special meeting of our stockholders, may be taken by written consent if such written consent is signed by the holders of the outstanding stock having not less than the minimum number of votes that would be necessary to authorize or take such action at a meeting at which all shares entitled to vote on such matter were present and voted.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our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DGCL provides generally that the affirmative vote of a majority of the outstanding shares entitled to vote thereon, voting together a single class, is required to amend a corporation’s certificate of incorporation, unless the certificate of incorporation requires a greater percentage. </w:t>
      </w:r>
    </w:p>
    <w:p>
      <w:pPr>
        <w:pStyle w:val="TextBody"/>
        <w:bidi w:val="0"/>
        <w:spacing w:before="240" w:after="0"/>
        <w:jc w:val="left"/>
        <w:rPr>
          <w:rFonts w:ascii="Times New Roman" w:hAnsi="Times New Roman"/>
          <w:sz w:val="20"/>
        </w:rPr>
      </w:pPr>
      <w:r>
        <w:rPr>
          <w:rFonts w:ascii="Times New Roman" w:hAnsi="Times New Roman"/>
          <w:sz w:val="20"/>
        </w:rPr>
        <w:t xml:space="preserve">Our Charter provides that it may be amended by us in the manner provided therein or prescribed by statute. Our Charter provides that the affirmative vote of the holders of a majority of the voting power of the then-outstanding shares of our capital stock entitled to vote generally in the election of directors, voting together as a single class, will be required to amend or repeal any provision of our Charter, or adopt any provision of our Charter inconsistent therewith. </w:t>
      </w:r>
    </w:p>
    <w:p>
      <w:pPr>
        <w:pStyle w:val="TextBody"/>
        <w:bidi w:val="0"/>
        <w:spacing w:before="240" w:after="0"/>
        <w:jc w:val="left"/>
        <w:rPr>
          <w:rFonts w:ascii="Times New Roman" w:hAnsi="Times New Roman"/>
          <w:sz w:val="20"/>
        </w:rPr>
      </w:pPr>
      <w:r>
        <w:rPr>
          <w:rFonts w:ascii="Times New Roman" w:hAnsi="Times New Roman"/>
          <w:sz w:val="20"/>
        </w:rPr>
        <w:t xml:space="preserve">If any of the Class B common stock shares are outstanding, in addition to any vote required by Delaware law, the affirmative vote of the holders of two-thirds (2/3) of the outstanding shares of Class B common stock, voting as a separate class, is required to amend our Charter (1) in a manner that changes any of the voting, conversion, dividend or liquidation provisions of the shares of Class B common stock, (2) to provide for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 of Class A common stock or any preferred stock to have more than one vote per share or any rights to a separate class vote of the holders of shares of Class A common stock other than as provided by our Charter or required by the DGCL, or (3) to otherwise adversely impact the rights, powers, preferences or privileges of the shares of Class B common stock in a manner that is disparate from the manner in which it affects the rights, powers, preferences or privileges of the shares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any shares of Class A common stock are outstanding, we will not, without the prior affirmative vote of the holders of a majority of the outstanding shares of Class A common stock, voting as a separate class, in addition to any other vote required by applicable law or our Charter, directly or indirectly, whether by amendment, or through merger, recapitalization, consolidation or otherwise amend, alter, change, repeal or adopt any provision of our Charter (1) in a manner that is inconsistent with, or that otherwise alters or changes the powers, preferences, or special rights of the shares of Class A common stock so as to affect them adversely; or (2) to provide for each share of Class B common stock to have more than 20 votes per share or any rights to a separate class vote of the holders of shares of Class B common stock other than as provided by our Charter or required by the DGCL. </w:t>
      </w:r>
    </w:p>
    <w:p>
      <w:pPr>
        <w:pStyle w:val="TextBody"/>
        <w:bidi w:val="0"/>
        <w:spacing w:before="240" w:after="0"/>
        <w:jc w:val="left"/>
        <w:rPr>
          <w:rFonts w:ascii="Times New Roman" w:hAnsi="Times New Roman"/>
          <w:sz w:val="20"/>
        </w:rPr>
      </w:pPr>
      <w:r>
        <w:rPr>
          <w:rFonts w:ascii="Times New Roman" w:hAnsi="Times New Roman"/>
          <w:sz w:val="20"/>
        </w:rPr>
        <w:t xml:space="preserve">Our Charter also provides that the Board will have the power to adopt, amend, alter, or repeal our Bylaws by the affirmative vote of a majority of the directors present at any regular or special meeting of the Board at which a quorum is present in any manner not inconsistent with the laws of the State of Delaware or our Charter. Our stockholders are prohibited from adopting, amending, altering, or repealing Bylaws, or to adopt any provision inconsistent with Bylaws, unless such action is approved, in addition to any other vote required by our Charter, (i) when the issued and outstanding shares of Class B common stock represents less than 50% of the voting power of the then outstanding shares of capital stock that would be entitled to vote for the election of directors, the affirmative vote of the holders of at least two-thirds of the voting power of the capital stock that would be entitled to vote in the election of directors or, prior to such time, (ii) the affirmative vote of the holders of a majority of the voting power of the shares of capital stock that would be entitled to vote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203 of the DGCL, a corporation will not be permitted to engage in a business combination with any interested stockholder for a period of three years following the time that such interested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Hyperfine’s outstanding voting stock. For purposes of this section only, “voting stock” has the meaning given to it in Section 203 of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we have not opted out of Section 203 of the DGCL, it will apply to us. As a result, this provision will make it more difficult for a person who would be an “interested stockholder” to effect various business combinations with us for a three-year period. This provision may encourage companies interested in acquiring us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the right to vote cumulatively does not exist unless the charter specifically authorizes cumulative voting. Our Charter does not authorize cumulative voting.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102(b)(7) of the DGCL, our Charter eliminates the personal liability of our directors or officers to us or our stockholders for monetary damages for breach of fiduciary duty as a director or officer, except for liability (i) for any breach of a director’s or officer’s duty of loyalty to the corporation or its stockholders, (ii) for acts or omissions not in good faith or which involve intentional misconduct or a knowing violation of law, (iii) of directors under Section 174 of the DGCL, (iv) for any transaction from which the director or officer derived an improper personal benefit, or (v) of officers in any action by or in the right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Our Charter provides that we may indemnify and advance expenses to our directors, officers, employees or agents to the fullest extent permitted by law. Our Bylaws provide that we shall indemnify and advance expenses to our directors and officers to the fullest extent authorized by the DGCL. We are also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advancement and indemnification provisions in our Charter and Bylaws may discourage stockholders from bringing lawsuits against directors for any alleged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Opportunities </w:t>
      </w:r>
    </w:p>
    <w:p>
      <w:pPr>
        <w:pStyle w:val="TextBody"/>
        <w:bidi w:val="0"/>
        <w:spacing w:before="120" w:after="0"/>
        <w:jc w:val="left"/>
        <w:rPr>
          <w:rFonts w:ascii="Times New Roman" w:hAnsi="Times New Roman"/>
          <w:sz w:val="20"/>
        </w:rPr>
      </w:pPr>
      <w:r>
        <w:rPr>
          <w:rFonts w:ascii="Times New Roman" w:hAnsi="Times New Roman"/>
          <w:sz w:val="20"/>
        </w:rPr>
        <w:t xml:space="preserve">Our Charter provides for the renouncement by us of any interest or expectancy of Hyperfine in, or being offered an opportunity to participate in any matter, transaction, or interest that is presented to, or acquired, created, or developed by, or which otherwise comes into possession of, any director of Hyperfine who is not an employee of Hyperfine or any of its subsidiaries, unless such matter, transaction, or interest is presented to, or acquired, created, or developed by, or otherwise comes into the possession of a director of Hyperfine expressly and solely in that director’s capacity as a director of Hyperfine.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Dissenters’ Rights of Appraisal and Payment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with certain exceptions, our stockholders will have appraisal rights in connection with a merger or consolidation of Hyperfine. Pursuant to the DGCL, stockholders who properly request and perfect appraisal rights in connection with such merger or consolidation will have the right to receive payment of the fair value of their shares as determined by the Delaware Court of Chancery.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Class A common stock is Continental Stock Transfer &amp; Trust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Exchange Listing </w:t>
      </w:r>
    </w:p>
    <w:p>
      <w:pPr>
        <w:pStyle w:val="TextBody"/>
        <w:bidi w:val="0"/>
        <w:spacing w:before="240" w:after="0"/>
        <w:jc w:val="left"/>
        <w:rPr>
          <w:rFonts w:ascii="Times New Roman" w:hAnsi="Times New Roman"/>
          <w:sz w:val="20"/>
        </w:rPr>
      </w:pPr>
      <w:r>
        <w:rPr>
          <w:rFonts w:ascii="Times New Roman" w:hAnsi="Times New Roman"/>
          <w:sz w:val="20"/>
        </w:rPr>
        <w:t xml:space="preserve">Our Class A common stock is listed for trading on The Nasdaq Global Market under the symbol “HYPR.”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901161_8"/>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 </w:t>
      </w:r>
    </w:p>
    <w:p>
      <w:pPr>
        <w:pStyle w:val="TextBody"/>
        <w:bidi w:val="0"/>
        <w:spacing w:before="240" w:after="0"/>
        <w:jc w:val="left"/>
        <w:rPr>
          <w:rFonts w:ascii="Times New Roman" w:hAnsi="Times New Roman"/>
          <w:sz w:val="20"/>
        </w:rPr>
      </w:pPr>
      <w:r>
        <w:rPr>
          <w:rFonts w:ascii="Times New Roman" w:hAnsi="Times New Roman"/>
          <w:sz w:val="20"/>
        </w:rPr>
        <w:t xml:space="preserve">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Trust Indenture Act, as in effect on the date of the indenture. We use the term “debenture trustee” to refer to either the trustee under the senior indenture or the trustee under the subordinated indenture,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each prospectus supplement the following terms relating to a series of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or designation;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and any limit on the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units based on or relating to currencies in which debt securities of such series are denominated and the currency or units in which principal or interest or both will or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issue the series of debt securities in global form, the terms of any global securities and who the depositary will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and the date or dates on which principal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which may be fixed or variable, or the method for determining the rate and the date interest will begin to accrue, the date or dates interest will be payable and the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payments will be payable;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and the price at which, we may, at our option, redeem the series of debt securities pursuant to any optional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which, and the price at which we are obligated, pursuant to any mandatory sinking fund provisions or otherwise, to redeem, or at the holder’s option to purchase,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indenture will restrict our ability to pay dividends, or will require us to maintain any asset ratios or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be restricted from incurring any additional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a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prospectus supplement the terms, if any, on which a series of debt securities may be convertible into or exchangeable for our Class A common stock or our other securities. We will include provisions as to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Consolidation, Merger or Sale; No Protection in Event of a Change of Control or Highly Leveraged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w:t>
      </w:r>
    </w:p>
    <w:p>
      <w:pPr>
        <w:pStyle w:val="TextBody"/>
        <w:bidi w:val="0"/>
        <w:spacing w:before="24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events of default under the indentures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interest when due and our failure continues for 90 days and the time for payment has not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or premium, if any, when due and the time for payment has not been extended or delayed;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as to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debenture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only have the right to institute a proceeding under the indentures or to appoint a receiver or trustee, or to seek other remedies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previously has given written notice to the debenture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a majority in aggregate principal amount of the outstanding debt securities of that series have made written request, and such holders have offered reasonable indemnity to the debenture trustee to institute the proceeding as trustee;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applicable debenture trustee regarding our compliance with specified covenants in the applicable indenture.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The debenture trustee and we may change the applicable indenture without the consent of any holders with respect to specific matters,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fix any ambiguity, defect or inconsistency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anything that does not materially adversely affect the interests of any holder of debt securities of any series issued pursuant to such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any premium payable upon the redemption of any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the principal of or premium or interest on any debt security payable in currency other than that stated in the debt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or waiver.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or exchange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with respect to a series, we must deposit with the trustee money or government obligations sufficient to pay all the principal of, the premium, if any, and interest on, the debt securities of the series on the dates payments are due.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Information Concerning the Debenture Trustee </w:t>
      </w:r>
    </w:p>
    <w:p>
      <w:pPr>
        <w:pStyle w:val="TextBody"/>
        <w:bidi w:val="0"/>
        <w:spacing w:before="120" w:after="0"/>
        <w:jc w:val="left"/>
        <w:rPr>
          <w:rFonts w:ascii="Times New Roman" w:hAnsi="Times New Roman"/>
          <w:sz w:val="20"/>
        </w:rPr>
      </w:pPr>
      <w:r>
        <w:rPr>
          <w:rFonts w:ascii="Times New Roman" w:hAnsi="Times New Roman"/>
          <w:sz w:val="20"/>
        </w:rPr>
        <w:t xml:space="preserve">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is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Subordination of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901161_9"/>
      <w:bookmarkEnd w:id="24"/>
      <w:r>
        <w:rPr>
          <w:rFonts w:ascii="Times New Roman" w:hAnsi="Times New Roman"/>
          <w:b/>
          <w:sz w:val="20"/>
        </w:rPr>
        <w:t xml:space="preserve">DESCRIPTION OF WARRANTS </w:t>
      </w:r>
    </w:p>
    <w:p>
      <w:pPr>
        <w:pStyle w:val="TextBody"/>
        <w:bidi w:val="0"/>
        <w:spacing w:before="24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to purchase shares of our Class A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contain, where applicable, the following terms of and other information relating to the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amount and terms of the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shares of our Class A common stock and the number of shares of Class A common stock to be received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shares of our preferred stock, the number of shares of preferred stock to be received upon exercise, and a description of that series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our debt securities, the amount of debt securities to be received upon exercise, and a description of that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the Class A common stock, preferred stock and/or debt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may be sold separately or with other securities as parts of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and exercise of the warrants.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Outstanding Warrants </w:t>
      </w:r>
    </w:p>
    <w:p>
      <w:pPr>
        <w:pStyle w:val="TextBody"/>
        <w:bidi w:val="0"/>
        <w:spacing w:before="120" w:after="0"/>
        <w:jc w:val="left"/>
        <w:rPr>
          <w:rFonts w:ascii="Times New Roman" w:hAnsi="Times New Roman"/>
          <w:sz w:val="20"/>
        </w:rPr>
      </w:pPr>
      <w:r>
        <w:rPr>
          <w:rFonts w:ascii="Times New Roman" w:hAnsi="Times New Roman"/>
          <w:sz w:val="20"/>
        </w:rPr>
        <w:t xml:space="preserve">As of November 8, 2023, we had no warrants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warrants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901161_10"/>
      <w:bookmarkEnd w:id="25"/>
      <w:r>
        <w:rPr>
          <w:rFonts w:ascii="Times New Roman" w:hAnsi="Times New Roman"/>
          <w:b/>
          <w:sz w:val="20"/>
        </w:rPr>
        <w:t xml:space="preserve">DESCRIPTION OF RIGHTS </w:t>
      </w:r>
    </w:p>
    <w:p>
      <w:pPr>
        <w:pStyle w:val="TextBody"/>
        <w:bidi w:val="0"/>
        <w:spacing w:before="24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rights to our stockholders to purchase shares of our Class A common stock, preferred stock or the other securities described in this prospectus. We may offer rights separately or together with one or more additional rights, debt securities, preferred stock, Class A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in a prospectus supplement the following terms of the rights being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of determining the stockholders entitled to the rights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shares of Class A common stock, preferred stock or other securities purchasable upon exercise of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rights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rights are transferrable and the date, if any, on and after which the rights may be separately transferred;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rights will commence, and the date on which the right to exercise the rights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method by which holders of rights will be entitled to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conditions to the completion of the offering,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withdrawal, termination and cancellation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there are any backstop or standby purchaser or purchasers and the terms of their commitment,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stockholders are entitled to oversubscription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rights, including terms, procedures and limitations relating to the distribution, exchange and exercise of the rights, as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right will entitle the holder of rights to purchase for cash the principal amount of shares of Class A common stock, preferred stock or other securities at the exercise price provided in the applicable prospectus supplement. Rights may be exercised at any time up to the close of business on the expiration date for the rights provided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Holders may exercise rights as described in the applicable prospectus supplement. Upon receipt of payment and the rights certificate properly completed and duly executed at the corporate trust office of the rights agent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other office indicated in the prospectus supplement, we will, as soon as practicable, forward the shares of Class A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Agent </w:t>
      </w:r>
    </w:p>
    <w:p>
      <w:pPr>
        <w:pStyle w:val="TextBody"/>
        <w:bidi w:val="0"/>
        <w:spacing w:before="120" w:after="0"/>
        <w:jc w:val="left"/>
        <w:rPr>
          <w:rFonts w:ascii="Times New Roman" w:hAnsi="Times New Roman"/>
          <w:sz w:val="20"/>
        </w:rPr>
      </w:pPr>
      <w:r>
        <w:rPr>
          <w:rFonts w:ascii="Times New Roman" w:hAnsi="Times New Roman"/>
          <w:sz w:val="20"/>
        </w:rPr>
        <w:t xml:space="preserve">The rights agent for any rights we offer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901161_11"/>
      <w:bookmarkEnd w:id="26"/>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consisting of Class A common stock, preferred stock, one or more debt securities, warrants or rights for the purchase of Class A common stock, preferred stock 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units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that differ from those described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in this section, as well as those set forth in any prospectus supplement or as described under “Description of Shares,” “Description of Debt Securities,” “Description of Warrants,” and “Description of Rights” will apply to each unit, as applicable, and to any Class A common stock, preferred stock, debt security, warrant or right included in each unit, as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 Agent </w:t>
      </w:r>
    </w:p>
    <w:p>
      <w:pPr>
        <w:pStyle w:val="TextBody"/>
        <w:bidi w:val="0"/>
        <w:spacing w:before="120" w:after="0"/>
        <w:jc w:val="left"/>
        <w:rPr>
          <w:rFonts w:ascii="Times New Roman" w:hAnsi="Times New Roman"/>
          <w:sz w:val="20"/>
        </w:rPr>
      </w:pPr>
      <w:r>
        <w:rPr>
          <w:rFonts w:ascii="Times New Roman" w:hAnsi="Times New Roman"/>
          <w:sz w:val="20"/>
        </w:rPr>
        <w:t xml:space="preserve">The name and address of the unit agent for any units we offer will be set forth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such numerous distinct series as we determine.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Enforceability of Rights by Holders of Units </w:t>
      </w:r>
    </w:p>
    <w:p>
      <w:pPr>
        <w:pStyle w:val="TextBody"/>
        <w:bidi w:val="0"/>
        <w:spacing w:before="120" w:after="0"/>
        <w:jc w:val="left"/>
        <w:rPr>
          <w:rFonts w:ascii="Times New Roman" w:hAnsi="Times New Roman"/>
          <w:sz w:val="20"/>
        </w:rPr>
      </w:pPr>
      <w:r>
        <w:rPr>
          <w:rFonts w:ascii="Times New Roman" w:hAnsi="Times New Roman"/>
          <w:sz w:val="20"/>
        </w:rPr>
        <w:t xml:space="preserve">Each unit agent will act solely as our agent under the applicable unit agreement and will not assume any obligation or relationship of agency or trust with any holder of any unit. A single bank or trust company may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901161_12"/>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Mintz, Levin, Cohn, Ferris, Glovsky and Popeo, P.C., Boston, Massachusetts, will pass upon the validity of the issuance of the securities to be offered by this prospectus. </w:t>
      </w:r>
    </w:p>
    <w:p>
      <w:pPr>
        <w:pStyle w:val="TextBody"/>
        <w:bidi w:val="0"/>
        <w:spacing w:before="480" w:after="0"/>
        <w:jc w:val="center"/>
        <w:rPr>
          <w:rFonts w:ascii="Times New Roman" w:hAnsi="Times New Roman"/>
          <w:b/>
          <w:sz w:val="20"/>
        </w:rPr>
      </w:pPr>
      <w:bookmarkStart w:id="28" w:name="toc901161_13"/>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combined and consolidated financial statements of Hyperfine, Inc., as of and for the two years ended December 31, 2022 and 2021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29" w:name="toc901161_14"/>
      <w:bookmarkEnd w:id="2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reporting requirements of the Exchange Act and file annual, quarterly and current reports, proxy statements and other information with the SEC. SEC filings are available at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obtain a copy of the registration statement, including the exhibits and schedules, from the SEC’s website.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http://www.hyperfine.io, through which you can access our SEC filings free of charge. The information set forth on our website is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901161_15"/>
      <w:bookmarkEnd w:id="30"/>
      <w:r>
        <w:rPr>
          <w:rFonts w:ascii="Times New Roman" w:hAnsi="Times New Roman"/>
          <w:b/>
          <w:sz w:val="20"/>
        </w:rPr>
        <w:t xml:space="preserve">INCORPORATION OF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20">
              <w:r>
                <w:rPr>
                  <w:rStyle w:val="InternetLink"/>
                  <w:rFonts w:ascii="Times New Roman" w:hAnsi="Times New Roman"/>
                  <w:sz w:val="20"/>
                </w:rPr>
                <w:t>Form 10-K</w:t>
              </w:r>
            </w:hyperlink>
            <w:r>
              <w:rPr>
                <w:rFonts w:ascii="Times New Roman" w:hAnsi="Times New Roman"/>
                <w:sz w:val="20"/>
              </w:rPr>
              <w:t xml:space="preserve"> for the fiscal year ended December 31, 2022 that we filed with the SEC on March 22,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portions of our definitive proxy statement on </w:t>
            </w:r>
            <w:hyperlink r:id="rId21">
              <w:r>
                <w:rPr>
                  <w:rStyle w:val="InternetLink"/>
                  <w:rFonts w:ascii="Times New Roman" w:hAnsi="Times New Roman"/>
                  <w:sz w:val="20"/>
                </w:rPr>
                <w:t>Schedule 14A</w:t>
              </w:r>
            </w:hyperlink>
            <w:r>
              <w:rPr>
                <w:rFonts w:ascii="Times New Roman" w:hAnsi="Times New Roman"/>
                <w:sz w:val="20"/>
              </w:rPr>
              <w:t xml:space="preserve"> that we filed with the SEC on April 24, 2023 that are deemed “filed” with the SEC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Quarterly Report on Form 10-Q for the fiscal quarter ended March 31, 2023 that we filed with the SEC on </w:t>
            </w:r>
            <w:hyperlink r:id="rId22">
              <w:r>
                <w:rPr>
                  <w:rStyle w:val="InternetLink"/>
                  <w:rFonts w:ascii="Times New Roman" w:hAnsi="Times New Roman"/>
                  <w:sz w:val="20"/>
                </w:rPr>
                <w:t>May 11, 2023,</w:t>
              </w:r>
            </w:hyperlink>
            <w:r>
              <w:rPr>
                <w:rFonts w:ascii="Times New Roman" w:hAnsi="Times New Roman"/>
                <w:sz w:val="20"/>
              </w:rPr>
              <w:t xml:space="preserve"> our Quarterly Report on Form 10-Q for the fiscal quarter ended June  30, 2023 that we filed with the SEC on </w:t>
            </w:r>
            <w:hyperlink r:id="rId23">
              <w:r>
                <w:rPr>
                  <w:rStyle w:val="InternetLink"/>
                  <w:rFonts w:ascii="Times New Roman" w:hAnsi="Times New Roman"/>
                  <w:sz w:val="20"/>
                </w:rPr>
                <w:t>August 14, 2023</w:t>
              </w:r>
            </w:hyperlink>
            <w:r>
              <w:rPr>
                <w:rFonts w:ascii="Times New Roman" w:hAnsi="Times New Roman"/>
                <w:sz w:val="20"/>
              </w:rPr>
              <w:t xml:space="preserve"> and our Quarterly Report on Form 10-Q for the fiscal quarter ended September  30, 2023 that we filed with the SEC on </w:t>
            </w:r>
            <w:hyperlink r:id="rId24">
              <w:r>
                <w:rPr>
                  <w:rStyle w:val="InternetLink"/>
                  <w:rFonts w:ascii="Times New Roman" w:hAnsi="Times New Roman"/>
                  <w:sz w:val="20"/>
                </w:rPr>
                <w:t>November 9, 2023</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that we filed with the SEC on </w:t>
            </w:r>
            <w:hyperlink r:id="rId25">
              <w:r>
                <w:rPr>
                  <w:rStyle w:val="InternetLink"/>
                  <w:rFonts w:ascii="Times New Roman" w:hAnsi="Times New Roman"/>
                  <w:sz w:val="20"/>
                </w:rPr>
                <w:t>February  8, 2023</w:t>
              </w:r>
            </w:hyperlink>
            <w:r>
              <w:rPr>
                <w:rFonts w:ascii="Times New Roman" w:hAnsi="Times New Roman"/>
                <w:sz w:val="20"/>
              </w:rPr>
              <w:t xml:space="preserve">, </w:t>
            </w:r>
            <w:hyperlink r:id="rId26">
              <w:r>
                <w:rPr>
                  <w:rStyle w:val="InternetLink"/>
                  <w:rFonts w:ascii="Times New Roman" w:hAnsi="Times New Roman"/>
                  <w:sz w:val="20"/>
                </w:rPr>
                <w:t>February  21, 2023</w:t>
              </w:r>
            </w:hyperlink>
            <w:r>
              <w:rPr>
                <w:rFonts w:ascii="Times New Roman" w:hAnsi="Times New Roman"/>
                <w:sz w:val="20"/>
              </w:rPr>
              <w:t xml:space="preserve">, </w:t>
            </w:r>
            <w:hyperlink r:id="rId27">
              <w:r>
                <w:rPr>
                  <w:rStyle w:val="InternetLink"/>
                  <w:rFonts w:ascii="Times New Roman" w:hAnsi="Times New Roman"/>
                  <w:sz w:val="20"/>
                </w:rPr>
                <w:t>March  29, 2023</w:t>
              </w:r>
            </w:hyperlink>
            <w:r>
              <w:rPr>
                <w:rFonts w:ascii="Times New Roman" w:hAnsi="Times New Roman"/>
                <w:sz w:val="20"/>
              </w:rPr>
              <w:t xml:space="preserve">, </w:t>
            </w:r>
            <w:hyperlink r:id="rId28">
              <w:r>
                <w:rPr>
                  <w:rStyle w:val="InternetLink"/>
                  <w:rFonts w:ascii="Times New Roman" w:hAnsi="Times New Roman"/>
                  <w:sz w:val="20"/>
                </w:rPr>
                <w:t>June  12, 2023</w:t>
              </w:r>
            </w:hyperlink>
            <w:r>
              <w:rPr>
                <w:rFonts w:ascii="Times New Roman" w:hAnsi="Times New Roman"/>
                <w:sz w:val="20"/>
              </w:rPr>
              <w:t xml:space="preserve">, </w:t>
            </w:r>
            <w:hyperlink r:id="rId29">
              <w:r>
                <w:rPr>
                  <w:rStyle w:val="InternetLink"/>
                  <w:rFonts w:ascii="Times New Roman" w:hAnsi="Times New Roman"/>
                  <w:sz w:val="20"/>
                </w:rPr>
                <w:t>July  18, 2023</w:t>
              </w:r>
            </w:hyperlink>
            <w:r>
              <w:rPr>
                <w:rFonts w:ascii="Times New Roman" w:hAnsi="Times New Roman"/>
                <w:sz w:val="20"/>
              </w:rPr>
              <w:t xml:space="preserve"> and </w:t>
            </w:r>
            <w:hyperlink r:id="rId30">
              <w:r>
                <w:rPr>
                  <w:rStyle w:val="InternetLink"/>
                  <w:rFonts w:ascii="Times New Roman" w:hAnsi="Times New Roman"/>
                  <w:sz w:val="20"/>
                </w:rPr>
                <w:t>October 3, 2023</w:t>
              </w:r>
            </w:hyperlink>
            <w:r>
              <w:rPr>
                <w:rFonts w:ascii="Times New Roman" w:hAnsi="Times New Roman"/>
                <w:sz w:val="20"/>
              </w:rPr>
              <w:t xml:space="preserve"> (except for the information furnished under Items 2.02 or 7.01 and the exhibits furnished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securities contained in our Registration Statement on </w:t>
            </w:r>
            <w:hyperlink r:id="rId31">
              <w:r>
                <w:rPr>
                  <w:rStyle w:val="InternetLink"/>
                  <w:rFonts w:ascii="Times New Roman" w:hAnsi="Times New Roman"/>
                  <w:sz w:val="20"/>
                </w:rPr>
                <w:t>Form 8-A</w:t>
              </w:r>
            </w:hyperlink>
            <w:r>
              <w:rPr>
                <w:rFonts w:ascii="Times New Roman" w:hAnsi="Times New Roman"/>
                <w:sz w:val="20"/>
              </w:rPr>
              <w:t xml:space="preserve"> that we filed with the SEC on January 26, 2021, including any amendment or report filed for the purpose of updating such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 file number for each of the documents listed above is 001-39949. </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reports and other documents filed by us pursuant to the Exchange Act after the date of the initial registration statement of which this prospectus is a part and prior to effectiveness of the registration statement shall be deemed to be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orally or in writing, a copy of any or all of the documents incorporated herein by reference. These documents will be provided to you at no cost, by contacting: </w:t>
      </w:r>
    </w:p>
    <w:p>
      <w:pPr>
        <w:pStyle w:val="TextBody"/>
        <w:bidi w:val="0"/>
        <w:spacing w:before="240" w:after="0"/>
        <w:jc w:val="center"/>
        <w:rPr>
          <w:rFonts w:ascii="Times New Roman" w:hAnsi="Times New Roman"/>
          <w:sz w:val="20"/>
        </w:rPr>
      </w:pPr>
      <w:r>
        <w:rPr>
          <w:rFonts w:ascii="Times New Roman" w:hAnsi="Times New Roman"/>
          <w:sz w:val="20"/>
        </w:rPr>
        <w:t xml:space="preserve">Hyperfine, Inc. </w:t>
      </w:r>
    </w:p>
    <w:p>
      <w:pPr>
        <w:pStyle w:val="TextBody"/>
        <w:bidi w:val="0"/>
        <w:spacing w:before="0" w:after="0"/>
        <w:jc w:val="center"/>
        <w:rPr>
          <w:rFonts w:ascii="Times New Roman" w:hAnsi="Times New Roman"/>
          <w:sz w:val="20"/>
        </w:rPr>
      </w:pPr>
      <w:r>
        <w:rPr>
          <w:rFonts w:ascii="Times New Roman" w:hAnsi="Times New Roman"/>
          <w:sz w:val="20"/>
        </w:rPr>
        <w:t xml:space="preserve">351 New Whitfield Street </w:t>
      </w:r>
    </w:p>
    <w:p>
      <w:pPr>
        <w:pStyle w:val="TextBody"/>
        <w:bidi w:val="0"/>
        <w:spacing w:before="0" w:after="0"/>
        <w:jc w:val="center"/>
        <w:rPr>
          <w:rFonts w:ascii="Times New Roman" w:hAnsi="Times New Roman"/>
          <w:sz w:val="20"/>
        </w:rPr>
      </w:pPr>
      <w:r>
        <w:rPr>
          <w:rFonts w:ascii="Times New Roman" w:hAnsi="Times New Roman"/>
          <w:sz w:val="20"/>
        </w:rPr>
        <w:t xml:space="preserve">Guilford, Connecticut 06437 </w:t>
      </w:r>
    </w:p>
    <w:p>
      <w:pPr>
        <w:pStyle w:val="TextBody"/>
        <w:bidi w:val="0"/>
        <w:spacing w:before="0" w:after="0"/>
        <w:jc w:val="center"/>
        <w:rPr>
          <w:rFonts w:ascii="Times New Roman" w:hAnsi="Times New Roman"/>
          <w:sz w:val="20"/>
        </w:rPr>
      </w:pPr>
      <w:r>
        <w:rPr>
          <w:rFonts w:ascii="Times New Roman" w:hAnsi="Times New Roman"/>
          <w:sz w:val="20"/>
        </w:rPr>
        <w:t xml:space="preserve">Telephone: (866) 796-6767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documents on our website, http://www.hyperfine.io. The information contained on, or that can be accessed through, our website is not a part of this prospectus. We have included our website address in this prospectus solely as an inactive textual reference.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82850" cy="3263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2"/>
                    <a:stretch>
                      <a:fillRect/>
                    </a:stretch>
                  </pic:blipFill>
                  <pic:spPr bwMode="auto">
                    <a:xfrm>
                      <a:off x="0" y="0"/>
                      <a:ext cx="2482850" cy="326390"/>
                    </a:xfrm>
                    <a:prstGeom prst="rect">
                      <a:avLst/>
                    </a:prstGeom>
                  </pic:spPr>
                </pic:pic>
              </a:graphicData>
            </a:graphic>
          </wp:inline>
        </w:drawing>
      </w:r>
      <w:r>
        <w:rPr/>
        <w:t xml:space="preserve"> </w:t>
      </w:r>
    </w:p>
    <w:p>
      <w:pPr>
        <w:pStyle w:val="TextBody"/>
        <w:bidi w:val="0"/>
        <w:spacing w:before="1200" w:after="0"/>
        <w:jc w:val="center"/>
        <w:rPr>
          <w:rFonts w:ascii="Times New Roman" w:hAnsi="Times New Roman"/>
          <w:b/>
          <w:sz w:val="32"/>
        </w:rPr>
      </w:pPr>
      <w:r>
        <w:rPr>
          <w:rFonts w:ascii="Times New Roman" w:hAnsi="Times New Roman"/>
          <w:b/>
          <w:sz w:val="32"/>
        </w:rPr>
        <w:t xml:space="preserve">Up to $50,000,000 </w:t>
      </w:r>
    </w:p>
    <w:p>
      <w:pPr>
        <w:pStyle w:val="TextBody"/>
        <w:bidi w:val="0"/>
        <w:spacing w:before="1200" w:after="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942"/>
        <w:gridCol w:w="869"/>
        <w:gridCol w:w="2945"/>
        <w:gridCol w:w="120"/>
        <w:gridCol w:w="3329"/>
      </w:tblGrid>
      <w:tr>
        <w:trPr/>
        <w:tc>
          <w:tcPr>
            <w:tcW w:w="2942" w:type="dxa"/>
            <w:tcBorders/>
            <w:vAlign w:val="center"/>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6756" w:type="dxa"/>
            <w:gridSpan w:val="3"/>
            <w:tcBorders/>
          </w:tcPr>
          <w:p>
            <w:pPr>
              <w:pStyle w:val="TableContents"/>
              <w:bidi w:val="0"/>
              <w:spacing w:before="0" w:after="283"/>
              <w:jc w:val="left"/>
              <w:rPr/>
            </w:pPr>
            <w:r>
              <w:rPr/>
              <w:t>   </w:t>
            </w:r>
            <w:r>
              <w:rPr>
                <w:b/>
              </w:rPr>
              <w:t>B. Riley Securities</w:t>
            </w:r>
          </w:p>
        </w:tc>
        <w:tc>
          <w:tcPr>
            <w:tcW w:w="12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right"/>
              <w:rPr>
                <w:b/>
              </w:rPr>
            </w:pPr>
            <w:r>
              <w:rPr>
                <w:b/>
              </w:rPr>
              <w:t>BTIG   </w:t>
            </w:r>
          </w:p>
        </w:tc>
      </w:tr>
    </w:tbl>
    <w:p>
      <w:pPr>
        <w:pStyle w:val="TextBody"/>
        <w:bidi w:val="0"/>
        <w:spacing w:before="0" w:after="0"/>
        <w:jc w:val="left"/>
        <w:rPr/>
      </w:pPr>
      <w:r>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December 29, 2025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33769/000095017025040281/hypr-20241231.htm" TargetMode="External"/><Relationship Id="rId4" Type="http://schemas.openxmlformats.org/officeDocument/2006/relationships/hyperlink" Target="http://www.sec.gov/Archives/edgar/data/../../../ix?doc=/Archives/edgar/data/1833769/000119312525074640/d840466ddef14a.htm" TargetMode="External"/><Relationship Id="rId5" Type="http://schemas.openxmlformats.org/officeDocument/2006/relationships/hyperlink" Target="http://www.sec.gov/Archives/edgar/data/../../../ix?doc=/Archives/edgar/data/1833769/000095017025070402/hypr-20250331.htm" TargetMode="External"/><Relationship Id="rId6" Type="http://schemas.openxmlformats.org/officeDocument/2006/relationships/hyperlink" Target="http://www.sec.gov/Archives/edgar/data/../../../ix?doc=/Archives/edgar/data/1833769/000095017025108047/hypr-20250630.htm" TargetMode="External"/><Relationship Id="rId7" Type="http://schemas.openxmlformats.org/officeDocument/2006/relationships/hyperlink" Target="http://www.sec.gov/Archives/edgar/data/../../../ix?doc=/Archives/edgar/data/1833769/000119312525280212/hypr-20250930.htm" TargetMode="External"/><Relationship Id="rId8" Type="http://schemas.openxmlformats.org/officeDocument/2006/relationships/hyperlink" Target="http://www.sec.gov/Archives/edgar/data/../../../ix?doc=/Archives/edgar/data/0001833769/000095017025010230/hypr-20250128.htm" TargetMode="External"/><Relationship Id="rId9" Type="http://schemas.openxmlformats.org/officeDocument/2006/relationships/hyperlink" Target="http://www.sec.gov/Archives/edgar/data/../../../ix?doc=/Archives/edgar/data/0001833769/000119312525023996/d867062d8k.htm" TargetMode="External"/><Relationship Id="rId10" Type="http://schemas.openxmlformats.org/officeDocument/2006/relationships/hyperlink" Target="http://www.sec.gov/Archives/edgar/data/../../../ix?doc=/Archives/edgar/data/0001833769/000119312525024326/d871544d8k.htm" TargetMode="External"/><Relationship Id="rId11" Type="http://schemas.openxmlformats.org/officeDocument/2006/relationships/hyperlink" Target="http://www.sec.gov/Archives/edgar/data/../../../ix?doc=/Archives/edgar/data/0001833769/000095017025062762/hypr-20250430.htm" TargetMode="External"/><Relationship Id="rId12" Type="http://schemas.openxmlformats.org/officeDocument/2006/relationships/hyperlink" Target="http://www.sec.gov/Archives/edgar/data/../../../ix?doc=/Archives/edgar/data/0001833769/000095017025074355/hypr-20250519.htm" TargetMode="External"/><Relationship Id="rId13" Type="http://schemas.openxmlformats.org/officeDocument/2006/relationships/hyperlink" Target="http://www.sec.gov/Archives/edgar/data/../../../ix?doc=/Archives/edgar/data/0001833769/000119312525125906/d881945d8k.htm" TargetMode="External"/><Relationship Id="rId14" Type="http://schemas.openxmlformats.org/officeDocument/2006/relationships/hyperlink" Target="http://www.sec.gov/Archives/edgar/data/../../../ix?doc=/Archives/edgar/data/0001833769/000095017025103970/hypr-20250806.htm" TargetMode="External"/><Relationship Id="rId15" Type="http://schemas.openxmlformats.org/officeDocument/2006/relationships/hyperlink" Target="http://www.sec.gov/Archives/edgar/data/../../../ix?doc=/Archives/edgar/data/0001833769/000119312525240255/d24811d8k.htm" TargetMode="External"/><Relationship Id="rId16" Type="http://schemas.openxmlformats.org/officeDocument/2006/relationships/hyperlink" Target="http://www.sec.gov/Archives/edgar/data/../../../ix?doc=/Archives/edgar/data/0001833769/000119312525241438/d36179d8k.htm" TargetMode="External"/><Relationship Id="rId17" Type="http://schemas.openxmlformats.org/officeDocument/2006/relationships/hyperlink" Target="http://www.sec.gov/Archives/edgar/data/1833769/000110465921007609/tm2037139-11_8a12b.htm" TargetMode="External"/><Relationship Id="rId18" Type="http://schemas.openxmlformats.org/officeDocument/2006/relationships/hyperlink" Target="http://www.sec.gov/Archives/edgar/data/1833769/000095017025040281/hypr-ex4_2.htm" TargetMode="External"/><Relationship Id="rId19" Type="http://schemas.openxmlformats.org/officeDocument/2006/relationships/image" Target="media/image2.jpeg"/><Relationship Id="rId20" Type="http://schemas.openxmlformats.org/officeDocument/2006/relationships/hyperlink" Target="http://www.sec.gov/Archives/edgar/data/../../../ix?doc=/Archives/edgar/data/1833769/000095017023009159/hypr-20221231.htm" TargetMode="External"/><Relationship Id="rId21" Type="http://schemas.openxmlformats.org/officeDocument/2006/relationships/hyperlink" Target="http://www.sec.gov/Archives/edgar/data/1833769/000119312523112843/d469615ddef14a.htm" TargetMode="External"/><Relationship Id="rId22" Type="http://schemas.openxmlformats.org/officeDocument/2006/relationships/hyperlink" Target="http://www.sec.gov/Archives/edgar/data/../../../ix?doc=/Archives/edgar/data/1833769/000095017023021378/hypr-20230331.htm" TargetMode="External"/><Relationship Id="rId23" Type="http://schemas.openxmlformats.org/officeDocument/2006/relationships/hyperlink" Target="http://www.sec.gov/Archives/edgar/data/../../../ix?doc=/Archives/edgar/data/1833769/000095017023042430/hypr-20230630.htm" TargetMode="External"/><Relationship Id="rId24" Type="http://schemas.openxmlformats.org/officeDocument/2006/relationships/hyperlink" Target="http://www.sec.gov/Archives/edgar/data/../../../ix?doc=/Archives/edgar/data/0001833769/000095017023062066/hypr-20230930.htm" TargetMode="External"/><Relationship Id="rId25" Type="http://schemas.openxmlformats.org/officeDocument/2006/relationships/hyperlink" Target="http://www.sec.gov/Archives/edgar/data/../../../ix?doc=/Archives/edgar/data/1833769/000119312523028445/d430074d8k.htm" TargetMode="External"/><Relationship Id="rId26" Type="http://schemas.openxmlformats.org/officeDocument/2006/relationships/hyperlink" Target="http://www.sec.gov/Archives/edgar/data/../../../ix?doc=/Archives/edgar/data/1833769/000095017023003321/hypr-20230216.htm" TargetMode="External"/><Relationship Id="rId27" Type="http://schemas.openxmlformats.org/officeDocument/2006/relationships/hyperlink" Target="http://www.sec.gov/Archives/edgar/data/../../../ix?doc=/Archives/edgar/data/1833769/000095017023010592/hypr-20230324.htm" TargetMode="External"/><Relationship Id="rId28" Type="http://schemas.openxmlformats.org/officeDocument/2006/relationships/hyperlink" Target="http://www.sec.gov/Archives/edgar/data/../../../ix?doc=/Archives/edgar/data/1833769/000095017023027473/hypr-20230608.htm" TargetMode="External"/><Relationship Id="rId29" Type="http://schemas.openxmlformats.org/officeDocument/2006/relationships/hyperlink" Target="http://www.sec.gov/Archives/edgar/data/../../../ix?doc=/Archives/edgar/data/1833769/000095017023033349/hypr-20230717.htm" TargetMode="External"/><Relationship Id="rId30" Type="http://schemas.openxmlformats.org/officeDocument/2006/relationships/hyperlink" Target="http://www.sec.gov/Archives/edgar/data/../../../ix?doc=/Archives/edgar/data/1833769/000095017023051513/hypr-20230927.htm" TargetMode="External"/><Relationship Id="rId31" Type="http://schemas.openxmlformats.org/officeDocument/2006/relationships/hyperlink" Target="http://www.sec.gov/Archives/edgar/data/1833769/000110465921007609/tm2037139-11_8a12b.htm" TargetMode="External"/><Relationship Id="rId32" Type="http://schemas.openxmlformats.org/officeDocument/2006/relationships/image" Target="media/image2.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68</Pages>
  <Words>25844</Words>
  <Characters>134107</Characters>
  <CharactersWithSpaces>160438</CharactersWithSpaces>
  <Paragraphs>1632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